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11745" w14:textId="55EC4ECA" w:rsidR="00E063E6" w:rsidRPr="009423EA" w:rsidRDefault="0080541D" w:rsidP="00E23E04">
      <w:pPr>
        <w:pStyle w:val="Sinespaciado"/>
        <w:rPr>
          <w:b/>
          <w:color w:val="365F91" w:themeColor="accent1" w:themeShade="BF"/>
        </w:rPr>
      </w:pPr>
      <w:r w:rsidRPr="009423EA">
        <w:rPr>
          <w:b/>
          <w:color w:val="365F91" w:themeColor="accent1" w:themeShade="BF"/>
        </w:rPr>
        <w:t>INFLACIÓ</w:t>
      </w:r>
      <w:r w:rsidR="000F3BF9" w:rsidRPr="009423EA">
        <w:rPr>
          <w:b/>
          <w:color w:val="365F91" w:themeColor="accent1" w:themeShade="BF"/>
        </w:rPr>
        <w:t>N, TIPO</w:t>
      </w:r>
      <w:r w:rsidR="00F4582F" w:rsidRPr="009423EA">
        <w:rPr>
          <w:b/>
          <w:color w:val="365F91" w:themeColor="accent1" w:themeShade="BF"/>
        </w:rPr>
        <w:t>S</w:t>
      </w:r>
      <w:r w:rsidR="000F3BF9" w:rsidRPr="009423EA">
        <w:rPr>
          <w:b/>
          <w:color w:val="365F91" w:themeColor="accent1" w:themeShade="BF"/>
        </w:rPr>
        <w:t xml:space="preserve"> DE CAMBIO, PRECIOS, RIESGO PAÍS, TIPO DE CAMBIO REAL MULTILATERAL Y OTROS</w:t>
      </w:r>
    </w:p>
    <w:p w14:paraId="21F5D22C" w14:textId="77777777" w:rsidR="000F3BF9" w:rsidRPr="009423EA" w:rsidRDefault="000F3BF9" w:rsidP="00E91E95">
      <w:pPr>
        <w:jc w:val="both"/>
        <w:rPr>
          <w:rFonts w:ascii="Calibri" w:eastAsia="Calibri" w:hAnsi="Calibri" w:cs="Times New Roman"/>
          <w:sz w:val="22"/>
          <w:szCs w:val="22"/>
        </w:rPr>
      </w:pPr>
    </w:p>
    <w:p w14:paraId="6E8CA185" w14:textId="7C974864" w:rsidR="000F3BF9" w:rsidRPr="009423EA" w:rsidRDefault="000F3BF9" w:rsidP="00E91E95">
      <w:pPr>
        <w:jc w:val="both"/>
        <w:rPr>
          <w:rFonts w:ascii="Calibri" w:eastAsia="Calibri" w:hAnsi="Calibri" w:cs="Times New Roman"/>
          <w:sz w:val="22"/>
          <w:szCs w:val="22"/>
        </w:rPr>
      </w:pPr>
      <w:r w:rsidRPr="009423EA">
        <w:rPr>
          <w:rStyle w:val="nfasissutil"/>
          <w:noProof/>
          <w:lang w:val="es-AR" w:eastAsia="es-AR"/>
        </w:rPr>
        <w:drawing>
          <wp:inline distT="0" distB="0" distL="0" distR="0" wp14:anchorId="17E09CFF" wp14:editId="6EE6BEBB">
            <wp:extent cx="5681662" cy="137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607" cy="1384381"/>
                    </a:xfrm>
                    <a:prstGeom prst="rect">
                      <a:avLst/>
                    </a:prstGeom>
                    <a:noFill/>
                    <a:ln>
                      <a:noFill/>
                    </a:ln>
                  </pic:spPr>
                </pic:pic>
              </a:graphicData>
            </a:graphic>
          </wp:inline>
        </w:drawing>
      </w:r>
    </w:p>
    <w:p w14:paraId="3183C1B0" w14:textId="77777777" w:rsidR="003A6100" w:rsidRPr="009423EA" w:rsidRDefault="003A6100" w:rsidP="00E91E95">
      <w:pPr>
        <w:jc w:val="both"/>
        <w:rPr>
          <w:rFonts w:ascii="Calibri" w:eastAsia="Calibri" w:hAnsi="Calibri" w:cs="Times New Roman"/>
          <w:sz w:val="22"/>
          <w:szCs w:val="22"/>
        </w:rPr>
      </w:pPr>
    </w:p>
    <w:p w14:paraId="42AF4373" w14:textId="77777777" w:rsidR="00E47C2C" w:rsidRPr="009423EA" w:rsidRDefault="00E47C2C" w:rsidP="00E47C2C">
      <w:pPr>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Aumentos de precios en el Capítulo General en febrero, elevado.</w:t>
      </w:r>
    </w:p>
    <w:p w14:paraId="58BB6FC3" w14:textId="77777777" w:rsidR="00E47C2C" w:rsidRPr="009423EA" w:rsidRDefault="00E47C2C" w:rsidP="00E47C2C">
      <w:pPr>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Precios de los Alimentos, más elevado.</w:t>
      </w:r>
    </w:p>
    <w:p w14:paraId="29BB75A4" w14:textId="77777777" w:rsidR="00E47C2C" w:rsidRPr="009423EA" w:rsidRDefault="00E47C2C" w:rsidP="00E47C2C">
      <w:pPr>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Brecha dólar oficial y dólar CCL, se reduce respecto a meses anteriores.</w:t>
      </w:r>
    </w:p>
    <w:p w14:paraId="179CDA57" w14:textId="77777777" w:rsidR="00E47C2C" w:rsidRPr="009423EA" w:rsidRDefault="00E47C2C" w:rsidP="00E47C2C">
      <w:pPr>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Conjeturas de aumentos de precios en el 2022, superando el 55 %.</w:t>
      </w:r>
    </w:p>
    <w:p w14:paraId="7770F333" w14:textId="77777777" w:rsidR="00E47C2C" w:rsidRPr="009423EA" w:rsidRDefault="00E47C2C" w:rsidP="00E47C2C">
      <w:pPr>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Devaluación del peso en febrero con leve aumento.</w:t>
      </w:r>
    </w:p>
    <w:p w14:paraId="432EE330" w14:textId="77777777" w:rsidR="00E47C2C" w:rsidRPr="009423EA" w:rsidRDefault="00E47C2C" w:rsidP="00E47C2C">
      <w:pPr>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Tasa de interés aumentó, pero la tasa real continua negativa.</w:t>
      </w:r>
    </w:p>
    <w:p w14:paraId="78CE856C" w14:textId="77777777" w:rsidR="00E47C2C" w:rsidRPr="009423EA" w:rsidRDefault="00E47C2C" w:rsidP="00E47C2C">
      <w:pPr>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Cabeza bimonetaria, montos reducidos por el cepo pero la población compradora del billete dólar ronda el millón de personas.</w:t>
      </w:r>
    </w:p>
    <w:p w14:paraId="25E16A09" w14:textId="77777777" w:rsidR="00E47C2C" w:rsidRDefault="00E47C2C" w:rsidP="00E47C2C">
      <w:pPr>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El Índice del Tipo de Cambio Real Multilateral (ITCRM) mejoró respecto a algunos países.</w:t>
      </w:r>
    </w:p>
    <w:p w14:paraId="61CC8B89" w14:textId="5BA0CEAE" w:rsidR="00784337" w:rsidRPr="009423EA" w:rsidRDefault="00784337" w:rsidP="00E47C2C">
      <w:pPr>
        <w:rPr>
          <w:rFonts w:asciiTheme="majorHAnsi" w:eastAsia="Times New Roman" w:hAnsiTheme="majorHAnsi" w:cstheme="majorHAnsi"/>
          <w:color w:val="000000" w:themeColor="text1"/>
          <w:sz w:val="22"/>
          <w:szCs w:val="22"/>
          <w:shd w:val="clear" w:color="auto" w:fill="FFFFFF"/>
          <w:lang w:val="es-AR" w:eastAsia="es-AR"/>
        </w:rPr>
      </w:pPr>
      <w:r>
        <w:rPr>
          <w:rFonts w:asciiTheme="majorHAnsi" w:eastAsia="Times New Roman" w:hAnsiTheme="majorHAnsi" w:cstheme="majorHAnsi"/>
          <w:color w:val="000000" w:themeColor="text1"/>
          <w:sz w:val="22"/>
          <w:szCs w:val="22"/>
          <w:shd w:val="clear" w:color="auto" w:fill="FFFFFF"/>
          <w:lang w:val="es-AR" w:eastAsia="es-AR"/>
        </w:rPr>
        <w:t>En los números de marzo apreciaremos los efectos de las acciones del gobierno.</w:t>
      </w:r>
    </w:p>
    <w:p w14:paraId="2DE1C9F6" w14:textId="77777777" w:rsidR="009423EA" w:rsidRPr="009423EA" w:rsidRDefault="009423EA" w:rsidP="00E47C2C">
      <w:pPr>
        <w:rPr>
          <w:rFonts w:asciiTheme="majorHAnsi" w:eastAsia="Times New Roman" w:hAnsiTheme="majorHAnsi" w:cstheme="majorHAnsi"/>
          <w:color w:val="000000" w:themeColor="text1"/>
          <w:sz w:val="22"/>
          <w:szCs w:val="22"/>
          <w:shd w:val="clear" w:color="auto" w:fill="FFFFFF"/>
          <w:lang w:val="es-AR" w:eastAsia="es-AR"/>
        </w:rPr>
      </w:pPr>
    </w:p>
    <w:p w14:paraId="53ADA107" w14:textId="77777777" w:rsidR="00E47C2C" w:rsidRPr="009423EA" w:rsidRDefault="00E47C2C" w:rsidP="00E47C2C">
      <w:pPr>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Inflación proyectada promedio de los dos primeros meses del 2022 a diciembre supera el 60 %.</w:t>
      </w:r>
    </w:p>
    <w:p w14:paraId="73EF4E96" w14:textId="77777777" w:rsidR="00E47C2C" w:rsidRPr="009423EA" w:rsidRDefault="00E47C2C" w:rsidP="00E47C2C">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Inodoro Pereyra y Mendieta</w:t>
      </w:r>
      <w:r w:rsidRPr="009423EA">
        <w:rPr>
          <w:rFonts w:asciiTheme="majorHAnsi" w:eastAsia="Times New Roman" w:hAnsiTheme="majorHAnsi" w:cstheme="majorHAnsi"/>
          <w:color w:val="000000" w:themeColor="text1"/>
          <w:sz w:val="22"/>
          <w:szCs w:val="22"/>
          <w:shd w:val="clear" w:color="auto" w:fill="FFFFFF"/>
          <w:lang w:val="es-AR" w:eastAsia="es-AR"/>
        </w:rPr>
        <w:t>,</w:t>
      </w:r>
      <w:r w:rsidRPr="009423EA">
        <w:rPr>
          <w:rFonts w:asciiTheme="majorHAnsi" w:eastAsia="Times New Roman" w:hAnsiTheme="majorHAnsi" w:cstheme="majorHAnsi"/>
          <w:b/>
          <w:color w:val="000000" w:themeColor="text1"/>
          <w:sz w:val="22"/>
          <w:szCs w:val="22"/>
          <w:shd w:val="clear" w:color="auto" w:fill="FFFFFF"/>
          <w:lang w:val="es-AR" w:eastAsia="es-AR"/>
        </w:rPr>
        <w:t xml:space="preserve"> </w:t>
      </w:r>
      <w:r w:rsidRPr="009423EA">
        <w:rPr>
          <w:rFonts w:asciiTheme="majorHAnsi" w:eastAsia="Times New Roman" w:hAnsiTheme="majorHAnsi" w:cstheme="majorHAnsi"/>
          <w:color w:val="000000" w:themeColor="text1"/>
          <w:sz w:val="22"/>
          <w:szCs w:val="22"/>
          <w:shd w:val="clear" w:color="auto" w:fill="FFFFFF"/>
          <w:lang w:val="es-AR" w:eastAsia="es-AR"/>
        </w:rPr>
        <w:t>en concordancia con los tiempos, decidieron sumarse a las medidas para mejorar la producción, aumentar el turismo y controlar los precios.</w:t>
      </w:r>
    </w:p>
    <w:p w14:paraId="3EA6D2CB" w14:textId="77777777" w:rsidR="00E47C2C" w:rsidRPr="009423EA" w:rsidRDefault="00E47C2C" w:rsidP="00E47C2C">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Inodoro: </w:t>
      </w:r>
      <w:r w:rsidRPr="009423EA">
        <w:rPr>
          <w:rFonts w:asciiTheme="majorHAnsi" w:eastAsia="Times New Roman" w:hAnsiTheme="majorHAnsi" w:cstheme="majorHAnsi"/>
          <w:b/>
          <w:i/>
          <w:color w:val="000000" w:themeColor="text1"/>
          <w:sz w:val="22"/>
          <w:szCs w:val="22"/>
          <w:shd w:val="clear" w:color="auto" w:fill="FFFFFF"/>
          <w:lang w:val="es-AR" w:eastAsia="es-AR"/>
        </w:rPr>
        <w:t>“Al chiquero lo vamos a techar. Yueve y se enyena e barro esto… Ansina yeva una vida digna este animal que se ha ganado nuestra estima”.</w:t>
      </w:r>
    </w:p>
    <w:p w14:paraId="20F18ACB" w14:textId="77777777" w:rsidR="00E47C2C" w:rsidRPr="009423EA" w:rsidRDefault="00E47C2C" w:rsidP="00E47C2C">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Mendieta mira al cerdo y dice: </w:t>
      </w:r>
      <w:r w:rsidRPr="009423EA">
        <w:rPr>
          <w:rFonts w:asciiTheme="majorHAnsi" w:eastAsia="Times New Roman" w:hAnsiTheme="majorHAnsi" w:cstheme="majorHAnsi"/>
          <w:b/>
          <w:i/>
          <w:color w:val="000000" w:themeColor="text1"/>
          <w:sz w:val="22"/>
          <w:szCs w:val="22"/>
          <w:shd w:val="clear" w:color="auto" w:fill="FFFFFF"/>
          <w:lang w:val="es-AR" w:eastAsia="es-AR"/>
        </w:rPr>
        <w:t>“Somos como chanchos con él”.</w:t>
      </w:r>
    </w:p>
    <w:p w14:paraId="6D664770" w14:textId="77777777" w:rsidR="00E47C2C" w:rsidRPr="009423EA" w:rsidRDefault="00E47C2C" w:rsidP="00E47C2C">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Inodoro: </w:t>
      </w:r>
      <w:r w:rsidRPr="009423EA">
        <w:rPr>
          <w:rFonts w:asciiTheme="majorHAnsi" w:eastAsia="Times New Roman" w:hAnsiTheme="majorHAnsi" w:cstheme="majorHAnsi"/>
          <w:b/>
          <w:i/>
          <w:color w:val="000000" w:themeColor="text1"/>
          <w:sz w:val="22"/>
          <w:szCs w:val="22"/>
          <w:shd w:val="clear" w:color="auto" w:fill="FFFFFF"/>
          <w:lang w:val="es-AR" w:eastAsia="es-AR"/>
        </w:rPr>
        <w:t>“Con estas mismas uñas de guitarrero cavaré un nuevo aljibe en la roca desnuda hasta encontrar la napa de agua caliente pal invierno”.</w:t>
      </w:r>
    </w:p>
    <w:p w14:paraId="07CF8EA6" w14:textId="77777777" w:rsidR="00E47C2C" w:rsidRPr="009423EA" w:rsidRDefault="00E47C2C" w:rsidP="00E47C2C">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Continúa Inodoro ordenando el plan que se ha propuesto: </w:t>
      </w:r>
      <w:r w:rsidRPr="009423EA">
        <w:rPr>
          <w:rFonts w:asciiTheme="majorHAnsi" w:eastAsia="Times New Roman" w:hAnsiTheme="majorHAnsi" w:cstheme="majorHAnsi"/>
          <w:b/>
          <w:i/>
          <w:color w:val="000000" w:themeColor="text1"/>
          <w:sz w:val="22"/>
          <w:szCs w:val="22"/>
          <w:shd w:val="clear" w:color="auto" w:fill="FFFFFF"/>
          <w:lang w:val="es-AR" w:eastAsia="es-AR"/>
        </w:rPr>
        <w:t>“Acá, en mi dormitorio, vamos a sembrar soja, que es planta de interiores. Y papa en la cocina, pa evitar los intermediarios”. Tuita esa parte de la pampa, hasta donde alcanza la vista, hacemos parque nacional: ligustro, ligustrín y céspe inglés”.</w:t>
      </w:r>
    </w:p>
    <w:p w14:paraId="40A02CA1" w14:textId="77777777" w:rsidR="00E47C2C" w:rsidRPr="009423EA" w:rsidRDefault="00E47C2C" w:rsidP="00E47C2C">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Mendieta siempre atinado advierte: </w:t>
      </w:r>
      <w:r w:rsidRPr="009423EA">
        <w:rPr>
          <w:rFonts w:asciiTheme="majorHAnsi" w:eastAsia="Times New Roman" w:hAnsiTheme="majorHAnsi" w:cstheme="majorHAnsi"/>
          <w:b/>
          <w:i/>
          <w:color w:val="000000" w:themeColor="text1"/>
          <w:sz w:val="22"/>
          <w:szCs w:val="22"/>
          <w:shd w:val="clear" w:color="auto" w:fill="FFFFFF"/>
          <w:lang w:val="es-AR" w:eastAsia="es-AR"/>
        </w:rPr>
        <w:t>“Cuidáu con el céspe inglés… después reclaman diciendo que es territorio de la Corona”.</w:t>
      </w:r>
    </w:p>
    <w:p w14:paraId="5BDCEA6A" w14:textId="77777777" w:rsidR="00E47C2C" w:rsidRPr="009423EA" w:rsidRDefault="00E47C2C" w:rsidP="00E47C2C">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Siguen ambos planificando y ordenando las acciones:</w:t>
      </w:r>
    </w:p>
    <w:p w14:paraId="4519BAC0" w14:textId="77777777" w:rsidR="00E47C2C" w:rsidRPr="009423EA" w:rsidRDefault="00E47C2C" w:rsidP="00E47C2C">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Inodoro: </w:t>
      </w:r>
      <w:r w:rsidRPr="009423EA">
        <w:rPr>
          <w:rFonts w:asciiTheme="majorHAnsi" w:eastAsia="Times New Roman" w:hAnsiTheme="majorHAnsi" w:cstheme="majorHAnsi"/>
          <w:b/>
          <w:i/>
          <w:color w:val="000000" w:themeColor="text1"/>
          <w:sz w:val="22"/>
          <w:szCs w:val="22"/>
          <w:shd w:val="clear" w:color="auto" w:fill="FFFFFF"/>
          <w:lang w:val="es-AR" w:eastAsia="es-AR"/>
        </w:rPr>
        <w:t>“¡Argentinos, a las cosas! ¡Vamos Mendieta! En dos patadas terminamos tuito. ¿Qué día es hoy?”.</w:t>
      </w:r>
    </w:p>
    <w:p w14:paraId="02F8D112" w14:textId="77777777" w:rsidR="00270473" w:rsidRPr="009423EA" w:rsidRDefault="00270473" w:rsidP="00270473">
      <w:pPr>
        <w:jc w:val="both"/>
        <w:rPr>
          <w:rFonts w:asciiTheme="majorHAnsi" w:eastAsia="Times New Roman" w:hAnsiTheme="majorHAnsi" w:cstheme="majorHAnsi"/>
          <w:color w:val="222222"/>
          <w:sz w:val="20"/>
          <w:szCs w:val="20"/>
          <w:shd w:val="clear" w:color="auto" w:fill="FFFFFF"/>
          <w:lang w:val="es-AR" w:eastAsia="es-AR"/>
        </w:rPr>
      </w:pPr>
    </w:p>
    <w:p w14:paraId="1E7941EF" w14:textId="77777777" w:rsidR="00270473" w:rsidRPr="009423EA" w:rsidRDefault="00270473" w:rsidP="00270473">
      <w:pPr>
        <w:jc w:val="both"/>
        <w:rPr>
          <w:rFonts w:asciiTheme="majorHAnsi" w:eastAsia="Times New Roman" w:hAnsiTheme="majorHAnsi" w:cstheme="majorHAnsi"/>
          <w:color w:val="222222"/>
          <w:sz w:val="20"/>
          <w:szCs w:val="20"/>
          <w:shd w:val="clear" w:color="auto" w:fill="FFFFFF"/>
          <w:lang w:val="es-AR" w:eastAsia="es-AR"/>
        </w:rPr>
      </w:pPr>
    </w:p>
    <w:p w14:paraId="2C9F1D9D" w14:textId="7DB1082D" w:rsidR="00270473" w:rsidRPr="009423EA" w:rsidRDefault="00270473" w:rsidP="006846DA">
      <w:pPr>
        <w:jc w:val="both"/>
        <w:rPr>
          <w:rFonts w:ascii="Calibri" w:eastAsia="Calibri" w:hAnsi="Calibri" w:cs="Times New Roman"/>
          <w:b/>
          <w:color w:val="1F497D" w:themeColor="text2"/>
          <w:sz w:val="28"/>
          <w:szCs w:val="28"/>
        </w:rPr>
      </w:pPr>
    </w:p>
    <w:p w14:paraId="6F3FECCB" w14:textId="7CCC5DA5" w:rsidR="00270473" w:rsidRPr="009423EA" w:rsidRDefault="00270473" w:rsidP="006846DA">
      <w:pPr>
        <w:jc w:val="both"/>
        <w:rPr>
          <w:rFonts w:ascii="Calibri" w:eastAsia="Calibri" w:hAnsi="Calibri" w:cs="Times New Roman"/>
          <w:b/>
          <w:color w:val="1F497D" w:themeColor="text2"/>
          <w:sz w:val="28"/>
          <w:szCs w:val="28"/>
        </w:rPr>
      </w:pPr>
    </w:p>
    <w:p w14:paraId="026C2302" w14:textId="6A6CA7D5" w:rsidR="00270473" w:rsidRPr="009423EA" w:rsidRDefault="00270473" w:rsidP="006846DA">
      <w:pPr>
        <w:jc w:val="both"/>
        <w:rPr>
          <w:rFonts w:ascii="Calibri" w:eastAsia="Calibri" w:hAnsi="Calibri" w:cs="Times New Roman"/>
          <w:b/>
          <w:color w:val="1F497D" w:themeColor="text2"/>
          <w:sz w:val="28"/>
          <w:szCs w:val="28"/>
        </w:rPr>
      </w:pPr>
      <w:r w:rsidRPr="009423EA">
        <w:rPr>
          <w:rFonts w:asciiTheme="majorHAnsi" w:hAnsiTheme="majorHAnsi"/>
          <w:b/>
          <w:noProof/>
          <w:color w:val="1F497D" w:themeColor="text2"/>
          <w:sz w:val="16"/>
          <w:szCs w:val="16"/>
          <w:lang w:val="es-AR" w:eastAsia="es-AR"/>
        </w:rPr>
        <w:drawing>
          <wp:anchor distT="0" distB="0" distL="114300" distR="114300" simplePos="0" relativeHeight="251658752" behindDoc="0" locked="0" layoutInCell="1" allowOverlap="1" wp14:anchorId="68CDA16B" wp14:editId="01952A79">
            <wp:simplePos x="0" y="0"/>
            <wp:positionH relativeFrom="margin">
              <wp:posOffset>59590</wp:posOffset>
            </wp:positionH>
            <wp:positionV relativeFrom="paragraph">
              <wp:posOffset>148924</wp:posOffset>
            </wp:positionV>
            <wp:extent cx="2342515" cy="141605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ieta"/>
                    <pic:cNvPicPr/>
                  </pic:nvPicPr>
                  <pic:blipFill>
                    <a:blip r:embed="rId9">
                      <a:extLst>
                        <a:ext uri="{28A0092B-C50C-407E-A947-70E740481C1C}">
                          <a14:useLocalDpi xmlns:a14="http://schemas.microsoft.com/office/drawing/2010/main" val="0"/>
                        </a:ext>
                      </a:extLst>
                    </a:blip>
                    <a:stretch>
                      <a:fillRect/>
                    </a:stretch>
                  </pic:blipFill>
                  <pic:spPr>
                    <a:xfrm>
                      <a:off x="0" y="0"/>
                      <a:ext cx="2342515" cy="1416050"/>
                    </a:xfrm>
                    <a:prstGeom prst="rect">
                      <a:avLst/>
                    </a:prstGeom>
                  </pic:spPr>
                </pic:pic>
              </a:graphicData>
            </a:graphic>
            <wp14:sizeRelH relativeFrom="page">
              <wp14:pctWidth>0</wp14:pctWidth>
            </wp14:sizeRelH>
            <wp14:sizeRelV relativeFrom="page">
              <wp14:pctHeight>0</wp14:pctHeight>
            </wp14:sizeRelV>
          </wp:anchor>
        </w:drawing>
      </w:r>
    </w:p>
    <w:p w14:paraId="0987AF90" w14:textId="341E4AF6" w:rsidR="00270473" w:rsidRPr="009423EA" w:rsidRDefault="00270473" w:rsidP="006846DA">
      <w:pPr>
        <w:jc w:val="both"/>
        <w:rPr>
          <w:rFonts w:ascii="Calibri" w:eastAsia="Calibri" w:hAnsi="Calibri" w:cs="Times New Roman"/>
          <w:b/>
          <w:color w:val="1F497D" w:themeColor="text2"/>
          <w:sz w:val="28"/>
          <w:szCs w:val="28"/>
        </w:rPr>
      </w:pPr>
    </w:p>
    <w:p w14:paraId="3566E4C2" w14:textId="092E9085" w:rsidR="00270473" w:rsidRPr="009423EA" w:rsidRDefault="00270473" w:rsidP="006846DA">
      <w:pPr>
        <w:jc w:val="both"/>
        <w:rPr>
          <w:rFonts w:ascii="Calibri" w:eastAsia="Calibri" w:hAnsi="Calibri" w:cs="Times New Roman"/>
          <w:b/>
          <w:color w:val="1F497D" w:themeColor="text2"/>
          <w:sz w:val="28"/>
          <w:szCs w:val="28"/>
        </w:rPr>
      </w:pPr>
      <w:r w:rsidRPr="009423EA">
        <w:rPr>
          <w:rFonts w:asciiTheme="majorHAnsi" w:hAnsiTheme="majorHAnsi"/>
          <w:b/>
          <w:noProof/>
          <w:color w:val="1F497D" w:themeColor="text2"/>
          <w:sz w:val="16"/>
          <w:szCs w:val="16"/>
          <w:lang w:val="es-AR" w:eastAsia="es-AR"/>
        </w:rPr>
        <mc:AlternateContent>
          <mc:Choice Requires="wps">
            <w:drawing>
              <wp:anchor distT="0" distB="0" distL="114300" distR="114300" simplePos="0" relativeHeight="251674112" behindDoc="0" locked="0" layoutInCell="1" allowOverlap="1" wp14:anchorId="6373E4A7" wp14:editId="17421F2B">
                <wp:simplePos x="0" y="0"/>
                <wp:positionH relativeFrom="margin">
                  <wp:posOffset>3608705</wp:posOffset>
                </wp:positionH>
                <wp:positionV relativeFrom="paragraph">
                  <wp:posOffset>13970</wp:posOffset>
                </wp:positionV>
                <wp:extent cx="2084705" cy="7239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2084705" cy="72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52B186" w14:textId="77777777" w:rsidR="00D55646" w:rsidRDefault="00D55646" w:rsidP="00D55646">
                            <w:pPr>
                              <w:jc w:val="right"/>
                              <w:rPr>
                                <w:rFonts w:ascii="Calibri" w:hAnsi="Calibri"/>
                                <w:sz w:val="28"/>
                                <w:szCs w:val="28"/>
                              </w:rPr>
                            </w:pPr>
                            <w:r w:rsidRPr="000232B8">
                              <w:rPr>
                                <w:rFonts w:ascii="Calibri" w:hAnsi="Calibri"/>
                                <w:sz w:val="28"/>
                                <w:szCs w:val="28"/>
                              </w:rPr>
                              <w:t>Lic. Jorge A. Moore</w:t>
                            </w:r>
                          </w:p>
                          <w:p w14:paraId="4771579E" w14:textId="6112F488" w:rsidR="00D55646" w:rsidRPr="00EB5972" w:rsidRDefault="00C062A2" w:rsidP="00D55646">
                            <w:pPr>
                              <w:jc w:val="right"/>
                              <w:rPr>
                                <w:rFonts w:ascii="Calibri" w:hAnsi="Calibri"/>
                                <w:sz w:val="28"/>
                                <w:szCs w:val="28"/>
                                <w:lang w:val="es-AR"/>
                              </w:rPr>
                            </w:pPr>
                            <w:r>
                              <w:rPr>
                                <w:rFonts w:ascii="Calibri" w:hAnsi="Calibri"/>
                                <w:sz w:val="28"/>
                                <w:szCs w:val="28"/>
                                <w:lang w:val="es-AR"/>
                              </w:rPr>
                              <w:t>Marzo</w:t>
                            </w:r>
                            <w:r w:rsidR="00D55646" w:rsidRPr="00EB5972">
                              <w:rPr>
                                <w:rFonts w:ascii="Calibri" w:hAnsi="Calibri"/>
                                <w:sz w:val="28"/>
                                <w:szCs w:val="28"/>
                                <w:lang w:val="es-AR"/>
                              </w:rPr>
                              <w:t xml:space="preserve"> 202</w:t>
                            </w:r>
                            <w:r w:rsidR="00295DA7">
                              <w:rPr>
                                <w:rFonts w:ascii="Calibri" w:hAnsi="Calibri"/>
                                <w:sz w:val="28"/>
                                <w:szCs w:val="28"/>
                                <w:lang w:val="es-AR"/>
                              </w:rPr>
                              <w:t>2</w:t>
                            </w:r>
                          </w:p>
                          <w:p w14:paraId="623B1E7D" w14:textId="77777777" w:rsidR="00D55646" w:rsidRPr="000232B8" w:rsidRDefault="00D55646" w:rsidP="00D55646">
                            <w:pPr>
                              <w:jc w:val="right"/>
                              <w:rPr>
                                <w:rFonts w:ascii="Calibri" w:hAnsi="Calibri"/>
                                <w:sz w:val="28"/>
                                <w:szCs w:val="28"/>
                              </w:rPr>
                            </w:pPr>
                          </w:p>
                          <w:p w14:paraId="110D964D" w14:textId="77777777" w:rsidR="00D55646" w:rsidRDefault="00D55646" w:rsidP="00D55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3E4A7" id="_x0000_t202" coordsize="21600,21600" o:spt="202" path="m,l,21600r21600,l21600,xe">
                <v:stroke joinstyle="miter"/>
                <v:path gradientshapeok="t" o:connecttype="rect"/>
              </v:shapetype>
              <v:shape id="Cuadro de texto 9" o:spid="_x0000_s1026" type="#_x0000_t202" style="position:absolute;left:0;text-align:left;margin-left:284.15pt;margin-top:1.1pt;width:164.15pt;height:5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89sQIAAKo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" filled="f" stroked="f">
                <v:textbox>
                  <w:txbxContent>
                    <w:p w14:paraId="6852B186" w14:textId="77777777" w:rsidR="00D55646" w:rsidRDefault="00D55646" w:rsidP="00D55646">
                      <w:pPr>
                        <w:jc w:val="right"/>
                        <w:rPr>
                          <w:rFonts w:ascii="Calibri" w:hAnsi="Calibri"/>
                          <w:sz w:val="28"/>
                          <w:szCs w:val="28"/>
                        </w:rPr>
                      </w:pPr>
                      <w:r w:rsidRPr="000232B8">
                        <w:rPr>
                          <w:rFonts w:ascii="Calibri" w:hAnsi="Calibri"/>
                          <w:sz w:val="28"/>
                          <w:szCs w:val="28"/>
                        </w:rPr>
                        <w:t>Lic. Jorge A. Moore</w:t>
                      </w:r>
                    </w:p>
                    <w:p w14:paraId="4771579E" w14:textId="6112F488" w:rsidR="00D55646" w:rsidRPr="00EB5972" w:rsidRDefault="00C062A2" w:rsidP="00D55646">
                      <w:pPr>
                        <w:jc w:val="right"/>
                        <w:rPr>
                          <w:rFonts w:ascii="Calibri" w:hAnsi="Calibri"/>
                          <w:sz w:val="28"/>
                          <w:szCs w:val="28"/>
                          <w:lang w:val="es-AR"/>
                        </w:rPr>
                      </w:pPr>
                      <w:r>
                        <w:rPr>
                          <w:rFonts w:ascii="Calibri" w:hAnsi="Calibri"/>
                          <w:sz w:val="28"/>
                          <w:szCs w:val="28"/>
                          <w:lang w:val="es-AR"/>
                        </w:rPr>
                        <w:t>Marzo</w:t>
                      </w:r>
                      <w:r w:rsidR="00D55646" w:rsidRPr="00EB5972">
                        <w:rPr>
                          <w:rFonts w:ascii="Calibri" w:hAnsi="Calibri"/>
                          <w:sz w:val="28"/>
                          <w:szCs w:val="28"/>
                          <w:lang w:val="es-AR"/>
                        </w:rPr>
                        <w:t xml:space="preserve"> 202</w:t>
                      </w:r>
                      <w:r w:rsidR="00295DA7">
                        <w:rPr>
                          <w:rFonts w:ascii="Calibri" w:hAnsi="Calibri"/>
                          <w:sz w:val="28"/>
                          <w:szCs w:val="28"/>
                          <w:lang w:val="es-AR"/>
                        </w:rPr>
                        <w:t>2</w:t>
                      </w:r>
                    </w:p>
                    <w:p w14:paraId="623B1E7D" w14:textId="77777777" w:rsidR="00D55646" w:rsidRPr="000232B8" w:rsidRDefault="00D55646" w:rsidP="00D55646">
                      <w:pPr>
                        <w:jc w:val="right"/>
                        <w:rPr>
                          <w:rFonts w:ascii="Calibri" w:hAnsi="Calibri"/>
                          <w:sz w:val="28"/>
                          <w:szCs w:val="28"/>
                        </w:rPr>
                      </w:pPr>
                    </w:p>
                    <w:p w14:paraId="110D964D" w14:textId="77777777" w:rsidR="00D55646" w:rsidRDefault="00D55646" w:rsidP="00D55646"/>
                  </w:txbxContent>
                </v:textbox>
                <w10:wrap type="square" anchorx="margin"/>
              </v:shape>
            </w:pict>
          </mc:Fallback>
        </mc:AlternateContent>
      </w:r>
    </w:p>
    <w:p w14:paraId="4762AED9" w14:textId="77777777" w:rsidR="00270473" w:rsidRPr="009423EA" w:rsidRDefault="00270473" w:rsidP="006846DA">
      <w:pPr>
        <w:jc w:val="both"/>
        <w:rPr>
          <w:rFonts w:ascii="Calibri" w:eastAsia="Calibri" w:hAnsi="Calibri" w:cs="Times New Roman"/>
          <w:b/>
          <w:color w:val="1F497D" w:themeColor="text2"/>
          <w:sz w:val="28"/>
          <w:szCs w:val="28"/>
        </w:rPr>
      </w:pPr>
    </w:p>
    <w:p w14:paraId="2FDA9738" w14:textId="77777777" w:rsidR="00270473" w:rsidRPr="009423EA" w:rsidRDefault="00270473" w:rsidP="006846DA">
      <w:pPr>
        <w:jc w:val="both"/>
        <w:rPr>
          <w:rFonts w:ascii="Calibri" w:eastAsia="Calibri" w:hAnsi="Calibri" w:cs="Times New Roman"/>
          <w:b/>
          <w:color w:val="1F497D" w:themeColor="text2"/>
          <w:sz w:val="28"/>
          <w:szCs w:val="28"/>
        </w:rPr>
      </w:pPr>
    </w:p>
    <w:p w14:paraId="6FE817C2" w14:textId="77777777" w:rsidR="00270473" w:rsidRPr="009423EA" w:rsidRDefault="00270473" w:rsidP="006846DA">
      <w:pPr>
        <w:jc w:val="both"/>
        <w:rPr>
          <w:rFonts w:ascii="Calibri" w:eastAsia="Calibri" w:hAnsi="Calibri" w:cs="Times New Roman"/>
          <w:b/>
          <w:color w:val="1F497D" w:themeColor="text2"/>
          <w:sz w:val="28"/>
          <w:szCs w:val="28"/>
        </w:rPr>
      </w:pPr>
    </w:p>
    <w:p w14:paraId="2CE32F9D" w14:textId="77777777" w:rsidR="00270473" w:rsidRPr="009423EA" w:rsidRDefault="00270473" w:rsidP="006846DA">
      <w:pPr>
        <w:jc w:val="both"/>
        <w:rPr>
          <w:rFonts w:ascii="Calibri" w:eastAsia="Calibri" w:hAnsi="Calibri" w:cs="Times New Roman"/>
          <w:b/>
          <w:color w:val="1F497D" w:themeColor="text2"/>
          <w:sz w:val="28"/>
          <w:szCs w:val="28"/>
        </w:rPr>
      </w:pPr>
    </w:p>
    <w:p w14:paraId="22A676F3" w14:textId="77777777" w:rsidR="00270473" w:rsidRPr="009423EA" w:rsidRDefault="00270473" w:rsidP="006846DA">
      <w:pPr>
        <w:jc w:val="both"/>
        <w:rPr>
          <w:rFonts w:ascii="Calibri" w:eastAsia="Calibri" w:hAnsi="Calibri" w:cs="Times New Roman"/>
          <w:b/>
          <w:color w:val="1F497D" w:themeColor="text2"/>
          <w:sz w:val="28"/>
          <w:szCs w:val="28"/>
        </w:rPr>
      </w:pPr>
    </w:p>
    <w:p w14:paraId="64E7EFA0" w14:textId="77777777" w:rsidR="006846DA" w:rsidRPr="009423EA" w:rsidRDefault="006846DA" w:rsidP="006846DA">
      <w:pPr>
        <w:jc w:val="both"/>
        <w:rPr>
          <w:rFonts w:ascii="Calibri" w:eastAsia="Calibri" w:hAnsi="Calibri" w:cs="Times New Roman"/>
          <w:b/>
          <w:color w:val="1F497D" w:themeColor="text2"/>
          <w:sz w:val="28"/>
          <w:szCs w:val="28"/>
        </w:rPr>
      </w:pPr>
      <w:r w:rsidRPr="009423EA">
        <w:rPr>
          <w:rFonts w:ascii="Calibri" w:eastAsia="Calibri" w:hAnsi="Calibri" w:cs="Times New Roman"/>
          <w:b/>
          <w:color w:val="1F497D" w:themeColor="text2"/>
          <w:sz w:val="28"/>
          <w:szCs w:val="28"/>
        </w:rPr>
        <w:t>Introducción:</w:t>
      </w:r>
    </w:p>
    <w:p w14:paraId="3F6F8587" w14:textId="77777777" w:rsidR="0094737B" w:rsidRPr="009423EA" w:rsidRDefault="0094737B" w:rsidP="0094737B">
      <w:pPr>
        <w:jc w:val="both"/>
        <w:rPr>
          <w:rFonts w:asciiTheme="majorHAnsi" w:eastAsia="Times New Roman" w:hAnsiTheme="majorHAnsi" w:cstheme="majorHAnsi"/>
          <w:b/>
          <w:color w:val="000000" w:themeColor="text1"/>
          <w:sz w:val="22"/>
          <w:szCs w:val="22"/>
          <w:u w:val="single"/>
          <w:shd w:val="clear" w:color="auto" w:fill="FFFFFF"/>
          <w:lang w:val="es-AR" w:eastAsia="es-AR"/>
        </w:rPr>
      </w:pPr>
    </w:p>
    <w:p w14:paraId="34625B65"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Todo junto y a velocidad los acontecimientos que mueven cimientos, la invasión a Ucrania, los números de la inflación y la inicial respuesta del Gobierno para enfrentarla. No mencionamos mayormente otra cosa que valores o comentarios de la inflación, se puede sí, agregar algunas fechas que hacen historia por las fuertes devaluaciones: 1985, 1989, 1990, 2002, 2014, 2016 y 2018. Las primeras tres y parcialmente la cuarta son cifras totalmente estrambóticas, las otras no tanto, pero siempre perturbadoras. Algunas recuperan el valor de la inflación y otras la superan.</w:t>
      </w:r>
    </w:p>
    <w:p w14:paraId="3C58F2E1"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La economista Laura Randall, a quien seguimos con interés, describe las teorías subyacentes en los planes (de corto o largo plazo) en la historia económica Argentina, que continúan teniendo vigencia. Las cinco que incluye se inspiran en autores de la economía denominada clásica (1), monetarista (2), estructuralista (3), keynesiano (4)  y las expectativas (5). La autora aclara que estas últimas son difíciles de predecir, pero resultan fáciles de analizar. Uno de los puntos que destaca es que en estas últimas influyen las características del presidente de la República. Más modernamente, otros autores dan tres modelos para los planes antiinflacionarios: ortodoxos, heterodoxos y populistas. Por todos estos hemos pasado en forma parcial o total. Incluimos el título de algunas medidas en cada periodo presidencial.</w:t>
      </w:r>
    </w:p>
    <w:p w14:paraId="3B6A7CA0"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7F3BECA0" w14:textId="77777777" w:rsidR="0094737B" w:rsidRPr="009423EA" w:rsidRDefault="0094737B" w:rsidP="0094737B">
      <w:pPr>
        <w:jc w:val="both"/>
        <w:rPr>
          <w:rFonts w:asciiTheme="majorHAnsi" w:eastAsia="Times New Roman" w:hAnsiTheme="majorHAnsi" w:cstheme="majorHAnsi"/>
          <w:color w:val="252525"/>
          <w:sz w:val="22"/>
          <w:szCs w:val="22"/>
          <w:shd w:val="clear" w:color="auto" w:fill="FFFFFF"/>
          <w:lang w:eastAsia="es-AR"/>
        </w:rPr>
      </w:pPr>
      <w:r w:rsidRPr="009423EA">
        <w:rPr>
          <w:rFonts w:asciiTheme="majorHAnsi" w:eastAsia="Times New Roman" w:hAnsiTheme="majorHAnsi" w:cstheme="majorHAnsi"/>
          <w:color w:val="252525"/>
          <w:sz w:val="22"/>
          <w:szCs w:val="22"/>
          <w:shd w:val="clear" w:color="auto" w:fill="FFFFFF"/>
          <w:lang w:eastAsia="es-AR"/>
        </w:rPr>
        <w:t>Iniciamos mencionando la definición de la inflación en las palabras del presidente del 18/03:</w:t>
      </w:r>
    </w:p>
    <w:p w14:paraId="38F1A28C" w14:textId="77777777" w:rsidR="0094737B" w:rsidRPr="009423EA" w:rsidRDefault="0094737B" w:rsidP="0094737B">
      <w:pPr>
        <w:jc w:val="both"/>
        <w:rPr>
          <w:rFonts w:asciiTheme="majorHAnsi" w:eastAsia="Times New Roman" w:hAnsiTheme="majorHAnsi" w:cstheme="majorHAnsi"/>
          <w:b/>
          <w:i/>
          <w:color w:val="252525"/>
          <w:sz w:val="22"/>
          <w:szCs w:val="22"/>
          <w:shd w:val="clear" w:color="auto" w:fill="FFFFFF"/>
          <w:lang w:eastAsia="es-AR"/>
        </w:rPr>
      </w:pPr>
      <w:r w:rsidRPr="009423EA">
        <w:rPr>
          <w:rFonts w:asciiTheme="majorHAnsi" w:eastAsia="Times New Roman" w:hAnsiTheme="majorHAnsi" w:cstheme="majorHAnsi"/>
          <w:b/>
          <w:i/>
          <w:color w:val="252525"/>
          <w:sz w:val="22"/>
          <w:szCs w:val="22"/>
          <w:shd w:val="clear" w:color="auto" w:fill="FFFFFF"/>
          <w:lang w:eastAsia="es-AR"/>
        </w:rPr>
        <w:t xml:space="preserve"> "La inflación es un fenómeno histórico en la Argentina, casi una maldición con la que muchos y muchas hemos crecido. Ha sido un callejón recurrente del que pareciera ser imposible salir. Hemos visto paquetes, planes, grandes anuncios. También los vimos fracasar una y otra vez”.</w:t>
      </w:r>
    </w:p>
    <w:p w14:paraId="28F5A868" w14:textId="77777777" w:rsidR="0094737B" w:rsidRPr="009423EA" w:rsidRDefault="0094737B" w:rsidP="0094737B">
      <w:pPr>
        <w:jc w:val="both"/>
        <w:rPr>
          <w:rFonts w:asciiTheme="majorHAnsi" w:eastAsia="Times New Roman" w:hAnsiTheme="majorHAnsi" w:cstheme="majorHAnsi"/>
          <w:b/>
          <w:color w:val="000000" w:themeColor="text1"/>
          <w:sz w:val="22"/>
          <w:szCs w:val="22"/>
          <w:u w:val="single"/>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La otra definición es la de empoderar a los ministros para la instrumentación de las medidas que supuestamente van a </w:t>
      </w:r>
      <w:r w:rsidRPr="009423EA">
        <w:rPr>
          <w:rFonts w:asciiTheme="majorHAnsi" w:eastAsia="Times New Roman" w:hAnsiTheme="majorHAnsi" w:cstheme="majorHAnsi"/>
          <w:b/>
          <w:color w:val="000000" w:themeColor="text1"/>
          <w:sz w:val="22"/>
          <w:szCs w:val="22"/>
          <w:u w:val="single"/>
          <w:shd w:val="clear" w:color="auto" w:fill="FFFFFF"/>
          <w:lang w:val="es-AR" w:eastAsia="es-AR"/>
        </w:rPr>
        <w:t>“resolver el problema de la inflación en Argentina…”</w:t>
      </w:r>
    </w:p>
    <w:p w14:paraId="734A658F"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08271F9B"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Mencionaremos brevemente algunos de los planes y resultados a partir de la década del 70, que seguramente estaban incluidos en la reflexión del presidente. Todos o casi todos contenían mecanismos de control, acuerdos o congelamiento de productos, devaluaciones, medidas fiscales, monetaristas, cambio de moneda y otros:</w:t>
      </w:r>
    </w:p>
    <w:p w14:paraId="5FF42C23"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354E28B6"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 xml:space="preserve">Presidencia de Juan Domingo Perón </w:t>
      </w:r>
      <w:r w:rsidRPr="009423EA">
        <w:rPr>
          <w:rFonts w:asciiTheme="majorHAnsi" w:eastAsia="Times New Roman" w:hAnsiTheme="majorHAnsi" w:cstheme="majorHAnsi"/>
          <w:color w:val="000000" w:themeColor="text1"/>
          <w:sz w:val="22"/>
          <w:szCs w:val="22"/>
          <w:shd w:val="clear" w:color="auto" w:fill="FFFFFF"/>
          <w:lang w:val="es-AR" w:eastAsia="es-AR"/>
        </w:rPr>
        <w:t>1973 - 1974 y ministro de Economía José Ber Gelbard, quien tuvo un éxito inicial con el descenso de la inflación, pero la muerte de Perón y la renuncia del ministro pusieron fin a lo logrado en la reducción de precios, más allá de posibles problemas políticos. Luego por años se inicia un periodo de fuertes vaivenes tanto políticos como sociales. Pacto social y controles.</w:t>
      </w:r>
    </w:p>
    <w:p w14:paraId="127C9A79"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513ECAF4"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Gobierno militar de Jorge Rafael Videla</w:t>
      </w:r>
      <w:r w:rsidRPr="009423EA">
        <w:rPr>
          <w:rFonts w:asciiTheme="majorHAnsi" w:eastAsia="Times New Roman" w:hAnsiTheme="majorHAnsi" w:cstheme="majorHAnsi"/>
          <w:color w:val="000000" w:themeColor="text1"/>
          <w:sz w:val="22"/>
          <w:szCs w:val="22"/>
          <w:shd w:val="clear" w:color="auto" w:fill="FFFFFF"/>
          <w:lang w:val="es-AR" w:eastAsia="es-AR"/>
        </w:rPr>
        <w:t xml:space="preserve"> y ministro José A. Martínez de Hoz entre 1976 y 1981. Con derogación de controles inicialmente, pero luego lo contrario y “tablita”. No lograron bajar los precios y terminaron en un fracaso. Hubo cambios en el gobierno (militar) y planes que también fracasaron. Desregulación del sistema financiero. Nueva moneda $a: Pesos Argentinos de 1983 a 1985.</w:t>
      </w:r>
    </w:p>
    <w:p w14:paraId="70FCD8EA"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2F1A86E4"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Presidencia de Raúl Ricardo Alfonsín</w:t>
      </w:r>
      <w:r w:rsidRPr="009423EA">
        <w:rPr>
          <w:rFonts w:asciiTheme="majorHAnsi" w:eastAsia="Times New Roman" w:hAnsiTheme="majorHAnsi" w:cstheme="majorHAnsi"/>
          <w:color w:val="000000" w:themeColor="text1"/>
          <w:sz w:val="22"/>
          <w:szCs w:val="22"/>
          <w:shd w:val="clear" w:color="auto" w:fill="FFFFFF"/>
          <w:lang w:val="es-AR" w:eastAsia="es-AR"/>
        </w:rPr>
        <w:t>, ministros Bernardo Grinspun, Juan V. Sourrouille, Juan Pugliese y Jesús Rodríguez, entre 1983 y 1989. El denominado Plan Austral fue un cuidadoso mecanismo iniciado por el discurso del presidente que denominó como una etapa de economía de guerra. Aparece la figura de la desindexación y congelamientos. Durante un tiempo logró resultados, pero finalmente este periodo colapsó en la hiperinflación. Nueva moneda Austral de 1985 a 1991. Acuerdo con el FMI.</w:t>
      </w:r>
    </w:p>
    <w:p w14:paraId="27B5924D"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7BBA53A9"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Presidencia de Carlos Saúl Menem</w:t>
      </w:r>
      <w:r w:rsidRPr="009423EA">
        <w:rPr>
          <w:rFonts w:asciiTheme="majorHAnsi" w:eastAsia="Times New Roman" w:hAnsiTheme="majorHAnsi" w:cstheme="majorHAnsi"/>
          <w:color w:val="000000" w:themeColor="text1"/>
          <w:sz w:val="22"/>
          <w:szCs w:val="22"/>
          <w:shd w:val="clear" w:color="auto" w:fill="FFFFFF"/>
          <w:lang w:val="es-AR" w:eastAsia="es-AR"/>
        </w:rPr>
        <w:t xml:space="preserve"> y ministros Antonio Erman González, Domingo Cavallo y Roque Fernández 1989 a 1999. Fue un largo periodo de éxito en la reducción de la inflación con la Convertibilidad como bandera y precios estables. Sobre el final hubo problemas, desempleo y deuda. Nueva moneda en pesos convertibles de 1991, primer diseño. En 1997 vino el segundo diseño y en 2012, el tercer diseño. Plan Brady y FMI.</w:t>
      </w:r>
    </w:p>
    <w:p w14:paraId="3628635F"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4678F96B"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 xml:space="preserve">Presidencia de Fernando De la Rúa y </w:t>
      </w:r>
      <w:r w:rsidRPr="009423EA">
        <w:rPr>
          <w:rFonts w:asciiTheme="majorHAnsi" w:eastAsia="Times New Roman" w:hAnsiTheme="majorHAnsi" w:cstheme="majorHAnsi"/>
          <w:color w:val="000000" w:themeColor="text1"/>
          <w:sz w:val="22"/>
          <w:szCs w:val="22"/>
          <w:shd w:val="clear" w:color="auto" w:fill="FFFFFF"/>
          <w:lang w:val="es-AR" w:eastAsia="es-AR"/>
        </w:rPr>
        <w:t>ministros José Luis Machinea, Ricardo López Murphy y Domingo Cavallo (diciembre 1999 a diciembre 2001). Final de la convertibilidad. La economía derrapó y se ingresó en un periodo de deflación y estancamiento. FMI y blindaje.</w:t>
      </w:r>
    </w:p>
    <w:p w14:paraId="2A0569C5"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2CB7739F"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Entre diciembre de 2001 y mayo de 2003</w:t>
      </w:r>
      <w:r w:rsidRPr="009423EA">
        <w:rPr>
          <w:rFonts w:asciiTheme="majorHAnsi" w:eastAsia="Times New Roman" w:hAnsiTheme="majorHAnsi" w:cstheme="majorHAnsi"/>
          <w:color w:val="000000" w:themeColor="text1"/>
          <w:sz w:val="22"/>
          <w:szCs w:val="22"/>
          <w:shd w:val="clear" w:color="auto" w:fill="FFFFFF"/>
          <w:lang w:val="es-AR" w:eastAsia="es-AR"/>
        </w:rPr>
        <w:t>, se sucedieron una serie de presidentes y ministros de economía, Ramón Puertas, Adolfo Rodríguez Saa, Eduardo Caamaño y Eduardo Duhalde con los siguientes ministros, Jorge Capitanich, Rodolfo Frigeri, Jorge Remes Lenicov y Roberto Lavagna. Estos años fueron aciagos e incluso con deflación inicial. Los precios tuvieron tendencia alcista junto a una fuerte devaluación.</w:t>
      </w:r>
    </w:p>
    <w:p w14:paraId="14DB786D"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42A7A306"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En la presidencia de Néstor Kirchner</w:t>
      </w:r>
      <w:r w:rsidRPr="009423EA">
        <w:rPr>
          <w:rFonts w:asciiTheme="majorHAnsi" w:eastAsia="Times New Roman" w:hAnsiTheme="majorHAnsi" w:cstheme="majorHAnsi"/>
          <w:color w:val="000000" w:themeColor="text1"/>
          <w:sz w:val="22"/>
          <w:szCs w:val="22"/>
          <w:shd w:val="clear" w:color="auto" w:fill="FFFFFF"/>
          <w:lang w:val="es-AR" w:eastAsia="es-AR"/>
        </w:rPr>
        <w:t>, mayo de 2003 a diciembre de 2007, con los ministros Roberto Lavagna, Felisa Micelli y Miguel Peyrano, se observó una inflación moderada que en todo el periodo rondó el 11 % anual, pero en el último año (2007) se elevó al 14 %. Acuerdos de precios. Cancelación deuda FMI.</w:t>
      </w:r>
    </w:p>
    <w:p w14:paraId="3425E436"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2CB0CCF3"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En las dos presidencias de Cristina Fernández de Kirchner,</w:t>
      </w:r>
      <w:r w:rsidRPr="009423EA">
        <w:rPr>
          <w:rFonts w:asciiTheme="majorHAnsi" w:eastAsia="Times New Roman" w:hAnsiTheme="majorHAnsi" w:cstheme="majorHAnsi"/>
          <w:color w:val="000000" w:themeColor="text1"/>
          <w:sz w:val="22"/>
          <w:szCs w:val="22"/>
          <w:shd w:val="clear" w:color="auto" w:fill="FFFFFF"/>
          <w:lang w:val="es-AR" w:eastAsia="es-AR"/>
        </w:rPr>
        <w:t xml:space="preserve"> diciembre 2007 a diciembre 2015, con los ministros Martín Lousteau, Carlos Fernández, Amado Boudou, Hernán Lorenzino y Axel Kicillof. Los precios en los 8 años ofrecen un promedio anual del 23 %, pero también en el último año, 2015 (sin incluir diciembre), se eleva al 25 %. Modificación del Carta Orgánica del BCRA, traspaso de la AFJP, cepo, congelamientos y esterilización de oferta de pesos.</w:t>
      </w:r>
    </w:p>
    <w:p w14:paraId="15B35E3F"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1D3353CE"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Presidencia de Mauricio Macri,</w:t>
      </w:r>
      <w:r w:rsidRPr="009423EA">
        <w:rPr>
          <w:rFonts w:asciiTheme="majorHAnsi" w:eastAsia="Times New Roman" w:hAnsiTheme="majorHAnsi" w:cstheme="majorHAnsi"/>
          <w:color w:val="000000" w:themeColor="text1"/>
          <w:sz w:val="22"/>
          <w:szCs w:val="22"/>
          <w:shd w:val="clear" w:color="auto" w:fill="FFFFFF"/>
          <w:lang w:val="es-AR" w:eastAsia="es-AR"/>
        </w:rPr>
        <w:t xml:space="preserve"> diciembre de 2015 a diciembre de 2019, con los ministros Alfonso Prat-Gay, Nicolás Dujovne y Hernán Lacunza, la inflación anual fue del 41 % en los cuatros años, pero en el último alcanzó el 53 %. El único año que la inflación fue más moderada resultó el 2017 con el 23 %. Es este periodo donde se instalaron “las metas de inflación”, acuerdos de precios y también la participación del FMI firmando el Stand By, el reperfilamiento de la deuda y el cepo.</w:t>
      </w:r>
    </w:p>
    <w:p w14:paraId="5522D329"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340BB71E"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 xml:space="preserve">Presidencia de Alberto Fernández, </w:t>
      </w:r>
      <w:r w:rsidRPr="009423EA">
        <w:rPr>
          <w:rFonts w:asciiTheme="majorHAnsi" w:eastAsia="Times New Roman" w:hAnsiTheme="majorHAnsi" w:cstheme="majorHAnsi"/>
          <w:color w:val="000000" w:themeColor="text1"/>
          <w:sz w:val="22"/>
          <w:szCs w:val="22"/>
          <w:shd w:val="clear" w:color="auto" w:fill="FFFFFF"/>
          <w:lang w:val="es-AR" w:eastAsia="es-AR"/>
        </w:rPr>
        <w:t>diciembre de 2019 hasta la actualidad, con el ministro Martín Maximiliano Guzmán. En estos últimos 27 meses los precios se elevaron en términos anuales al 45 %, pero la proyección de los dos primeros meses es del 67 %. Este número se está tratando de reducir o desacelerar con la reestructuración de la deuda, el cepo, los precios cuidados, congelados, máximos  o similares. Nuevo acuerdo sobre la base del anterior con el FMI.</w:t>
      </w:r>
    </w:p>
    <w:p w14:paraId="407CD0F7"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p>
    <w:p w14:paraId="0F69701F"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b/>
          <w:color w:val="000000" w:themeColor="text1"/>
          <w:sz w:val="22"/>
          <w:szCs w:val="22"/>
          <w:shd w:val="clear" w:color="auto" w:fill="FFFFFF"/>
          <w:lang w:val="es-AR" w:eastAsia="es-AR"/>
        </w:rPr>
        <w:t>Inodoro Pereyra y Mendieta</w:t>
      </w:r>
      <w:r w:rsidRPr="009423EA">
        <w:rPr>
          <w:rFonts w:asciiTheme="majorHAnsi" w:eastAsia="Times New Roman" w:hAnsiTheme="majorHAnsi" w:cstheme="majorHAnsi"/>
          <w:color w:val="000000" w:themeColor="text1"/>
          <w:sz w:val="22"/>
          <w:szCs w:val="22"/>
          <w:shd w:val="clear" w:color="auto" w:fill="FFFFFF"/>
          <w:lang w:val="es-AR" w:eastAsia="es-AR"/>
        </w:rPr>
        <w:t>,</w:t>
      </w:r>
      <w:r w:rsidRPr="009423EA">
        <w:rPr>
          <w:rFonts w:asciiTheme="majorHAnsi" w:eastAsia="Times New Roman" w:hAnsiTheme="majorHAnsi" w:cstheme="majorHAnsi"/>
          <w:b/>
          <w:color w:val="000000" w:themeColor="text1"/>
          <w:sz w:val="22"/>
          <w:szCs w:val="22"/>
          <w:shd w:val="clear" w:color="auto" w:fill="FFFFFF"/>
          <w:lang w:val="es-AR" w:eastAsia="es-AR"/>
        </w:rPr>
        <w:t xml:space="preserve"> </w:t>
      </w:r>
      <w:r w:rsidRPr="009423EA">
        <w:rPr>
          <w:rFonts w:asciiTheme="majorHAnsi" w:eastAsia="Times New Roman" w:hAnsiTheme="majorHAnsi" w:cstheme="majorHAnsi"/>
          <w:color w:val="000000" w:themeColor="text1"/>
          <w:sz w:val="22"/>
          <w:szCs w:val="22"/>
          <w:shd w:val="clear" w:color="auto" w:fill="FFFFFF"/>
          <w:lang w:val="es-AR" w:eastAsia="es-AR"/>
        </w:rPr>
        <w:t>en concordancia con los tiempos, decidieron sumarse a las medidas para mejorar la producción, aumentar el turismo y controlar los precios.</w:t>
      </w:r>
    </w:p>
    <w:p w14:paraId="5AFF0750" w14:textId="77777777" w:rsidR="0094737B" w:rsidRPr="009423EA" w:rsidRDefault="0094737B" w:rsidP="0094737B">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Inodoro: </w:t>
      </w:r>
      <w:r w:rsidRPr="009423EA">
        <w:rPr>
          <w:rFonts w:asciiTheme="majorHAnsi" w:eastAsia="Times New Roman" w:hAnsiTheme="majorHAnsi" w:cstheme="majorHAnsi"/>
          <w:b/>
          <w:i/>
          <w:color w:val="000000" w:themeColor="text1"/>
          <w:sz w:val="22"/>
          <w:szCs w:val="22"/>
          <w:shd w:val="clear" w:color="auto" w:fill="FFFFFF"/>
          <w:lang w:val="es-AR" w:eastAsia="es-AR"/>
        </w:rPr>
        <w:t>“Al chiquero lo vamos a techar. Yueve y se enyena e barro esto… Ansina yeva una vida digna este animal que se ha ganado nuestra estima”.</w:t>
      </w:r>
    </w:p>
    <w:p w14:paraId="04C86ECB" w14:textId="77777777" w:rsidR="0094737B" w:rsidRPr="009423EA" w:rsidRDefault="0094737B" w:rsidP="0094737B">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Mendieta mira al cerdo y dice: </w:t>
      </w:r>
      <w:r w:rsidRPr="009423EA">
        <w:rPr>
          <w:rFonts w:asciiTheme="majorHAnsi" w:eastAsia="Times New Roman" w:hAnsiTheme="majorHAnsi" w:cstheme="majorHAnsi"/>
          <w:b/>
          <w:i/>
          <w:color w:val="000000" w:themeColor="text1"/>
          <w:sz w:val="22"/>
          <w:szCs w:val="22"/>
          <w:shd w:val="clear" w:color="auto" w:fill="FFFFFF"/>
          <w:lang w:val="es-AR" w:eastAsia="es-AR"/>
        </w:rPr>
        <w:t>“Somos como chanchos con él”.</w:t>
      </w:r>
    </w:p>
    <w:p w14:paraId="184F1659"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Inodoro: </w:t>
      </w:r>
      <w:r w:rsidRPr="009423EA">
        <w:rPr>
          <w:rFonts w:asciiTheme="majorHAnsi" w:eastAsia="Times New Roman" w:hAnsiTheme="majorHAnsi" w:cstheme="majorHAnsi"/>
          <w:b/>
          <w:i/>
          <w:color w:val="000000" w:themeColor="text1"/>
          <w:sz w:val="22"/>
          <w:szCs w:val="22"/>
          <w:shd w:val="clear" w:color="auto" w:fill="FFFFFF"/>
          <w:lang w:val="es-AR" w:eastAsia="es-AR"/>
        </w:rPr>
        <w:t>“Con estas mismas uñas de guitarrero cavaré un nuevo aljibe en la roca desnuda hasta encontrar la napa de agua caliente pal invierno”.</w:t>
      </w:r>
    </w:p>
    <w:p w14:paraId="2D191B71" w14:textId="77777777" w:rsidR="0094737B" w:rsidRPr="009423EA" w:rsidRDefault="0094737B" w:rsidP="0094737B">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Continúa Inodoro ordenando el plan que se ha propuesto: </w:t>
      </w:r>
      <w:r w:rsidRPr="009423EA">
        <w:rPr>
          <w:rFonts w:asciiTheme="majorHAnsi" w:eastAsia="Times New Roman" w:hAnsiTheme="majorHAnsi" w:cstheme="majorHAnsi"/>
          <w:b/>
          <w:i/>
          <w:color w:val="000000" w:themeColor="text1"/>
          <w:sz w:val="22"/>
          <w:szCs w:val="22"/>
          <w:shd w:val="clear" w:color="auto" w:fill="FFFFFF"/>
          <w:lang w:val="es-AR" w:eastAsia="es-AR"/>
        </w:rPr>
        <w:t>“Acá, en mi dormitorio, vamos a sembrar soja, que es planta de interiores. Y papa en la cocina, pa evitar los intermediarios”. Tuita esa parte de la pampa, hasta donde alcanza la vista, hacemos parque nacional: ligustro, ligustrín y céspe inglés”.</w:t>
      </w:r>
    </w:p>
    <w:p w14:paraId="373E7FFD" w14:textId="77777777" w:rsidR="0094737B" w:rsidRPr="009423EA" w:rsidRDefault="0094737B" w:rsidP="0094737B">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Mendieta siempre atinado advierte: </w:t>
      </w:r>
      <w:r w:rsidRPr="009423EA">
        <w:rPr>
          <w:rFonts w:asciiTheme="majorHAnsi" w:eastAsia="Times New Roman" w:hAnsiTheme="majorHAnsi" w:cstheme="majorHAnsi"/>
          <w:b/>
          <w:i/>
          <w:color w:val="000000" w:themeColor="text1"/>
          <w:sz w:val="22"/>
          <w:szCs w:val="22"/>
          <w:shd w:val="clear" w:color="auto" w:fill="FFFFFF"/>
          <w:lang w:val="es-AR" w:eastAsia="es-AR"/>
        </w:rPr>
        <w:t>“Cuidáu con el céspe inglés… después reclaman diciendo que es territorio de la Corona”.</w:t>
      </w:r>
    </w:p>
    <w:p w14:paraId="73C0E0C1" w14:textId="77777777" w:rsidR="0094737B" w:rsidRPr="009423EA" w:rsidRDefault="0094737B" w:rsidP="0094737B">
      <w:pPr>
        <w:jc w:val="both"/>
        <w:rPr>
          <w:rFonts w:asciiTheme="majorHAnsi" w:eastAsia="Times New Roman" w:hAnsiTheme="majorHAnsi" w:cstheme="majorHAns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Siguen ambos planificando y ordenando las acciones:</w:t>
      </w:r>
    </w:p>
    <w:p w14:paraId="497B2FC5" w14:textId="77777777" w:rsidR="0094737B" w:rsidRPr="009423EA" w:rsidRDefault="0094737B" w:rsidP="0094737B">
      <w:pPr>
        <w:jc w:val="both"/>
        <w:rPr>
          <w:rFonts w:asciiTheme="majorHAnsi" w:eastAsia="Times New Roman" w:hAnsiTheme="majorHAnsi" w:cstheme="majorHAnsi"/>
          <w:b/>
          <w:i/>
          <w:color w:val="000000" w:themeColor="text1"/>
          <w:sz w:val="22"/>
          <w:szCs w:val="22"/>
          <w:shd w:val="clear" w:color="auto" w:fill="FFFFFF"/>
          <w:lang w:val="es-AR" w:eastAsia="es-AR"/>
        </w:rPr>
      </w:pPr>
      <w:r w:rsidRPr="009423EA">
        <w:rPr>
          <w:rFonts w:asciiTheme="majorHAnsi" w:eastAsia="Times New Roman" w:hAnsiTheme="majorHAnsi" w:cstheme="majorHAnsi"/>
          <w:color w:val="000000" w:themeColor="text1"/>
          <w:sz w:val="22"/>
          <w:szCs w:val="22"/>
          <w:shd w:val="clear" w:color="auto" w:fill="FFFFFF"/>
          <w:lang w:val="es-AR" w:eastAsia="es-AR"/>
        </w:rPr>
        <w:t xml:space="preserve">Inodoro: </w:t>
      </w:r>
      <w:r w:rsidRPr="009423EA">
        <w:rPr>
          <w:rFonts w:asciiTheme="majorHAnsi" w:eastAsia="Times New Roman" w:hAnsiTheme="majorHAnsi" w:cstheme="majorHAnsi"/>
          <w:b/>
          <w:i/>
          <w:color w:val="000000" w:themeColor="text1"/>
          <w:sz w:val="22"/>
          <w:szCs w:val="22"/>
          <w:shd w:val="clear" w:color="auto" w:fill="FFFFFF"/>
          <w:lang w:val="es-AR" w:eastAsia="es-AR"/>
        </w:rPr>
        <w:t>“¡Argentinos, a las cosas! ¡Vamos Mendieta! En dos patadas terminamos tuito. ¿Qué día es hoy?”.</w:t>
      </w:r>
    </w:p>
    <w:p w14:paraId="15E46286" w14:textId="77777777" w:rsidR="0094737B" w:rsidRPr="009423EA" w:rsidRDefault="0094737B" w:rsidP="0094737B">
      <w:pPr>
        <w:rPr>
          <w:rFonts w:asciiTheme="majorHAnsi" w:hAnsiTheme="majorHAnsi" w:cstheme="majorHAnsi"/>
          <w:sz w:val="22"/>
          <w:szCs w:val="22"/>
        </w:rPr>
      </w:pPr>
    </w:p>
    <w:p w14:paraId="4852C86E" w14:textId="77777777" w:rsidR="006846DA" w:rsidRPr="009423EA" w:rsidRDefault="006846DA" w:rsidP="006846DA">
      <w:pPr>
        <w:rPr>
          <w:rFonts w:asciiTheme="majorHAnsi" w:hAnsiTheme="majorHAnsi" w:cstheme="majorHAnsi"/>
          <w:sz w:val="22"/>
          <w:szCs w:val="22"/>
        </w:rPr>
      </w:pPr>
    </w:p>
    <w:p w14:paraId="13645824" w14:textId="61C94108" w:rsidR="0086039A" w:rsidRPr="009423EA" w:rsidRDefault="0086039A" w:rsidP="00E91E95">
      <w:pPr>
        <w:spacing w:after="160" w:line="259" w:lineRule="auto"/>
        <w:jc w:val="both"/>
        <w:rPr>
          <w:rFonts w:ascii="Calibri" w:eastAsia="Calibri" w:hAnsi="Calibri" w:cs="Times New Roman"/>
          <w:color w:val="1F497D" w:themeColor="text2"/>
          <w:sz w:val="22"/>
          <w:szCs w:val="22"/>
          <w:lang w:val="es-ES" w:eastAsia="en-US"/>
        </w:rPr>
      </w:pPr>
      <w:r w:rsidRPr="009423EA">
        <w:rPr>
          <w:rFonts w:ascii="Calibri" w:eastAsia="Calibri" w:hAnsi="Calibri" w:cs="Times New Roman"/>
          <w:b/>
          <w:color w:val="1F497D" w:themeColor="text2"/>
          <w:sz w:val="28"/>
          <w:szCs w:val="28"/>
          <w:lang w:val="es-ES" w:eastAsia="en-US"/>
        </w:rPr>
        <w:t>Iniciado el año 202</w:t>
      </w:r>
      <w:r w:rsidR="00976037" w:rsidRPr="009423EA">
        <w:rPr>
          <w:rFonts w:ascii="Calibri" w:eastAsia="Calibri" w:hAnsi="Calibri" w:cs="Times New Roman"/>
          <w:b/>
          <w:color w:val="1F497D" w:themeColor="text2"/>
          <w:sz w:val="28"/>
          <w:szCs w:val="28"/>
          <w:lang w:val="es-ES" w:eastAsia="en-US"/>
        </w:rPr>
        <w:t>2</w:t>
      </w:r>
      <w:r w:rsidRPr="009423EA">
        <w:rPr>
          <w:rFonts w:ascii="Calibri" w:eastAsia="Calibri" w:hAnsi="Calibri" w:cs="Times New Roman"/>
          <w:b/>
          <w:color w:val="1F497D" w:themeColor="text2"/>
          <w:sz w:val="28"/>
          <w:szCs w:val="28"/>
          <w:lang w:val="es-ES" w:eastAsia="en-US"/>
        </w:rPr>
        <w:t>:</w:t>
      </w:r>
      <w:r w:rsidRPr="009423EA">
        <w:rPr>
          <w:rFonts w:ascii="Calibri" w:eastAsia="Calibri" w:hAnsi="Calibri" w:cs="Times New Roman"/>
          <w:b/>
          <w:color w:val="1F497D" w:themeColor="text2"/>
          <w:sz w:val="22"/>
          <w:szCs w:val="22"/>
          <w:lang w:val="es-ES" w:eastAsia="en-US"/>
        </w:rPr>
        <w:t xml:space="preserve"> </w:t>
      </w:r>
      <w:r w:rsidRPr="009423EA">
        <w:rPr>
          <w:rFonts w:ascii="Calibri" w:eastAsia="Calibri" w:hAnsi="Calibri" w:cs="Times New Roman"/>
          <w:sz w:val="22"/>
          <w:szCs w:val="22"/>
          <w:lang w:val="es-ES" w:eastAsia="en-US"/>
        </w:rPr>
        <w:t>Com</w:t>
      </w:r>
      <w:r w:rsidR="00B719ED" w:rsidRPr="009423EA">
        <w:rPr>
          <w:rFonts w:ascii="Calibri" w:eastAsia="Calibri" w:hAnsi="Calibri" w:cs="Times New Roman"/>
          <w:sz w:val="22"/>
          <w:szCs w:val="22"/>
          <w:lang w:val="es-ES" w:eastAsia="en-US"/>
        </w:rPr>
        <w:t>o</w:t>
      </w:r>
      <w:r w:rsidR="007F73F7" w:rsidRPr="009423EA">
        <w:rPr>
          <w:rFonts w:ascii="Calibri" w:eastAsia="Calibri" w:hAnsi="Calibri" w:cs="Times New Roman"/>
          <w:sz w:val="22"/>
          <w:szCs w:val="22"/>
          <w:lang w:val="es-ES" w:eastAsia="en-US"/>
        </w:rPr>
        <w:t xml:space="preserve"> si</w:t>
      </w:r>
      <w:r w:rsidR="00BC4B99" w:rsidRPr="009423EA">
        <w:rPr>
          <w:rFonts w:ascii="Calibri" w:eastAsia="Calibri" w:hAnsi="Calibri" w:cs="Times New Roman"/>
          <w:sz w:val="22"/>
          <w:szCs w:val="22"/>
          <w:lang w:val="es-ES" w:eastAsia="en-US"/>
        </w:rPr>
        <w:t xml:space="preserve">empre, la inflación de </w:t>
      </w:r>
      <w:r w:rsidR="00437B68">
        <w:rPr>
          <w:rFonts w:ascii="Calibri" w:eastAsia="Calibri" w:hAnsi="Calibri" w:cs="Times New Roman"/>
          <w:sz w:val="22"/>
          <w:szCs w:val="22"/>
          <w:lang w:val="es-ES" w:eastAsia="en-US"/>
        </w:rPr>
        <w:t>febrero</w:t>
      </w:r>
      <w:r w:rsidR="00435BA6" w:rsidRPr="009423EA">
        <w:rPr>
          <w:rFonts w:ascii="Calibri" w:eastAsia="Calibri" w:hAnsi="Calibri" w:cs="Times New Roman"/>
          <w:sz w:val="22"/>
          <w:szCs w:val="22"/>
          <w:lang w:val="es-ES" w:eastAsia="en-US"/>
        </w:rPr>
        <w:t xml:space="preserve"> (202</w:t>
      </w:r>
      <w:r w:rsidR="00976037" w:rsidRPr="009423EA">
        <w:rPr>
          <w:rFonts w:ascii="Calibri" w:eastAsia="Calibri" w:hAnsi="Calibri" w:cs="Times New Roman"/>
          <w:sz w:val="22"/>
          <w:szCs w:val="22"/>
          <w:lang w:val="es-ES" w:eastAsia="en-US"/>
        </w:rPr>
        <w:t>2</w:t>
      </w:r>
      <w:r w:rsidR="00435BA6" w:rsidRPr="009423EA">
        <w:rPr>
          <w:rFonts w:ascii="Calibri" w:eastAsia="Calibri" w:hAnsi="Calibri" w:cs="Times New Roman"/>
          <w:sz w:val="22"/>
          <w:szCs w:val="22"/>
          <w:lang w:val="es-ES" w:eastAsia="en-US"/>
        </w:rPr>
        <w:t xml:space="preserve">) </w:t>
      </w:r>
      <w:r w:rsidRPr="009423EA">
        <w:rPr>
          <w:rFonts w:ascii="Calibri" w:eastAsia="Calibri" w:hAnsi="Calibri" w:cs="Times New Roman"/>
          <w:sz w:val="22"/>
          <w:szCs w:val="22"/>
          <w:lang w:val="es-ES" w:eastAsia="en-US"/>
        </w:rPr>
        <w:t>y otros indicadores asociados.</w:t>
      </w:r>
    </w:p>
    <w:p w14:paraId="0B961D4C" w14:textId="77777777" w:rsidR="0086039A" w:rsidRPr="009423EA" w:rsidRDefault="0086039A" w:rsidP="00E91E95">
      <w:pPr>
        <w:spacing w:after="160" w:line="259" w:lineRule="auto"/>
        <w:jc w:val="both"/>
        <w:rPr>
          <w:rFonts w:ascii="Calibri" w:eastAsia="Calibri" w:hAnsi="Calibri" w:cs="Times New Roman"/>
          <w:sz w:val="22"/>
          <w:szCs w:val="22"/>
          <w:lang w:val="es-ES" w:eastAsia="en-US"/>
        </w:rPr>
      </w:pPr>
      <w:r w:rsidRPr="009423EA">
        <w:rPr>
          <w:rFonts w:ascii="Calibri" w:eastAsia="Calibri" w:hAnsi="Calibri" w:cs="Times New Roman"/>
          <w:b/>
          <w:color w:val="1F497D" w:themeColor="text2"/>
          <w:sz w:val="28"/>
          <w:szCs w:val="28"/>
          <w:lang w:val="es-ES" w:eastAsia="en-US"/>
        </w:rPr>
        <w:t>Comentarios:</w:t>
      </w:r>
      <w:r w:rsidRPr="009423EA">
        <w:rPr>
          <w:rFonts w:ascii="Calibri" w:eastAsia="Calibri" w:hAnsi="Calibri" w:cs="Times New Roman"/>
          <w:b/>
          <w:color w:val="1F497D" w:themeColor="text2"/>
          <w:sz w:val="22"/>
          <w:szCs w:val="22"/>
          <w:lang w:val="es-ES" w:eastAsia="en-US"/>
        </w:rPr>
        <w:t xml:space="preserve"> </w:t>
      </w:r>
      <w:r w:rsidRPr="009423EA">
        <w:rPr>
          <w:rFonts w:ascii="Calibri" w:eastAsia="Calibri" w:hAnsi="Calibri" w:cs="Times New Roman"/>
          <w:sz w:val="22"/>
          <w:szCs w:val="22"/>
          <w:lang w:val="es-ES" w:eastAsia="en-US"/>
        </w:rPr>
        <w:t>Con el diario del lunes.</w:t>
      </w:r>
    </w:p>
    <w:p w14:paraId="18EE9346" w14:textId="619C43FC" w:rsidR="0086039A" w:rsidRPr="009423EA" w:rsidRDefault="0086039A" w:rsidP="00E91E95">
      <w:pPr>
        <w:spacing w:after="160" w:line="259" w:lineRule="auto"/>
        <w:jc w:val="both"/>
        <w:rPr>
          <w:rFonts w:ascii="Calibri" w:eastAsia="Calibri" w:hAnsi="Calibri" w:cs="Times New Roman"/>
          <w:sz w:val="22"/>
          <w:szCs w:val="22"/>
          <w:lang w:val="es-ES" w:eastAsia="en-US"/>
        </w:rPr>
      </w:pPr>
      <w:r w:rsidRPr="009423EA">
        <w:rPr>
          <w:rFonts w:ascii="Calibri" w:eastAsia="Calibri" w:hAnsi="Calibri" w:cs="Times New Roman"/>
          <w:b/>
          <w:color w:val="1F497D" w:themeColor="text2"/>
          <w:sz w:val="28"/>
          <w:szCs w:val="28"/>
          <w:lang w:val="es-ES" w:eastAsia="en-US"/>
        </w:rPr>
        <w:lastRenderedPageBreak/>
        <w:t>Sugerencia:</w:t>
      </w:r>
      <w:r w:rsidRPr="009423EA">
        <w:rPr>
          <w:rFonts w:ascii="Calibri" w:eastAsia="Calibri" w:hAnsi="Calibri" w:cs="Times New Roman"/>
          <w:b/>
          <w:sz w:val="22"/>
          <w:szCs w:val="22"/>
          <w:lang w:val="es-ES" w:eastAsia="en-US"/>
        </w:rPr>
        <w:t xml:space="preserve"> </w:t>
      </w:r>
      <w:r w:rsidR="00E53244" w:rsidRPr="009423EA">
        <w:rPr>
          <w:rFonts w:ascii="Calibri" w:eastAsia="Calibri" w:hAnsi="Calibri" w:cs="Times New Roman"/>
          <w:sz w:val="22"/>
          <w:szCs w:val="22"/>
          <w:lang w:val="es-ES" w:eastAsia="en-US"/>
        </w:rPr>
        <w:t>L</w:t>
      </w:r>
      <w:r w:rsidRPr="009423EA">
        <w:rPr>
          <w:rFonts w:ascii="Calibri" w:eastAsia="Calibri" w:hAnsi="Calibri" w:cs="Times New Roman"/>
          <w:sz w:val="22"/>
          <w:szCs w:val="22"/>
          <w:lang w:val="es-ES" w:eastAsia="en-US"/>
        </w:rPr>
        <w:t>eer con tranquilidad y en algunos casos, como los gráficos pueden resultar densos, pacien</w:t>
      </w:r>
      <w:r w:rsidR="00645793" w:rsidRPr="009423EA">
        <w:rPr>
          <w:rFonts w:ascii="Calibri" w:eastAsia="Calibri" w:hAnsi="Calibri" w:cs="Times New Roman"/>
          <w:sz w:val="22"/>
          <w:szCs w:val="22"/>
          <w:lang w:val="es-ES" w:eastAsia="en-US"/>
        </w:rPr>
        <w:t>cia</w:t>
      </w:r>
      <w:r w:rsidR="00332D9F" w:rsidRPr="009423EA">
        <w:rPr>
          <w:rFonts w:ascii="Calibri" w:eastAsia="Calibri" w:hAnsi="Calibri" w:cs="Times New Roman"/>
          <w:sz w:val="22"/>
          <w:szCs w:val="22"/>
          <w:lang w:val="es-ES" w:eastAsia="en-US"/>
        </w:rPr>
        <w:t>,</w:t>
      </w:r>
      <w:r w:rsidR="00645793" w:rsidRPr="009423EA">
        <w:rPr>
          <w:rFonts w:ascii="Calibri" w:eastAsia="Calibri" w:hAnsi="Calibri" w:cs="Times New Roman"/>
          <w:sz w:val="22"/>
          <w:szCs w:val="22"/>
          <w:lang w:val="es-ES" w:eastAsia="en-US"/>
        </w:rPr>
        <w:t xml:space="preserve"> porque aclaran los párrafos y dan cuenta de información de varios años.</w:t>
      </w:r>
      <w:r w:rsidR="00D107EF" w:rsidRPr="009423EA">
        <w:rPr>
          <w:rFonts w:ascii="Calibri" w:eastAsia="Calibri" w:hAnsi="Calibri" w:cs="Times New Roman"/>
          <w:sz w:val="22"/>
          <w:szCs w:val="22"/>
          <w:lang w:val="es-ES" w:eastAsia="en-US"/>
        </w:rPr>
        <w:t xml:space="preserve"> Tratamos de analizar la inflación desde varios puntos</w:t>
      </w:r>
      <w:r w:rsidR="008A36BA" w:rsidRPr="009423EA">
        <w:rPr>
          <w:rFonts w:ascii="Calibri" w:eastAsia="Calibri" w:hAnsi="Calibri" w:cs="Times New Roman"/>
          <w:sz w:val="22"/>
          <w:szCs w:val="22"/>
          <w:lang w:val="es-ES" w:eastAsia="en-US"/>
        </w:rPr>
        <w:t xml:space="preserve"> de</w:t>
      </w:r>
      <w:r w:rsidR="00D107EF" w:rsidRPr="009423EA">
        <w:rPr>
          <w:rFonts w:ascii="Calibri" w:eastAsia="Calibri" w:hAnsi="Calibri" w:cs="Times New Roman"/>
          <w:sz w:val="22"/>
          <w:szCs w:val="22"/>
          <w:lang w:val="es-ES" w:eastAsia="en-US"/>
        </w:rPr>
        <w:t xml:space="preserve"> vista e incluso abusando de gráficos.</w:t>
      </w:r>
    </w:p>
    <w:p w14:paraId="0F95DB65" w14:textId="77777777" w:rsidR="00B04347" w:rsidRPr="009423EA" w:rsidRDefault="0086039A" w:rsidP="00B04347">
      <w:pPr>
        <w:jc w:val="both"/>
        <w:rPr>
          <w:rFonts w:ascii="Calibri" w:eastAsia="Calibri" w:hAnsi="Calibri"/>
          <w:sz w:val="22"/>
          <w:szCs w:val="22"/>
          <w:lang w:val="es-ES" w:eastAsia="en-US"/>
        </w:rPr>
      </w:pPr>
      <w:r w:rsidRPr="009423EA">
        <w:rPr>
          <w:rFonts w:ascii="Calibri" w:eastAsia="Calibri" w:hAnsi="Calibri"/>
          <w:b/>
          <w:color w:val="1F497D" w:themeColor="text2"/>
          <w:sz w:val="28"/>
          <w:szCs w:val="28"/>
          <w:lang w:val="es-ES" w:eastAsia="en-US"/>
        </w:rPr>
        <w:t>Fuentes:</w:t>
      </w:r>
      <w:r w:rsidR="001F724A" w:rsidRPr="009423EA">
        <w:rPr>
          <w:rFonts w:ascii="Calibri" w:eastAsia="Calibri" w:hAnsi="Calibri"/>
          <w:b/>
          <w:color w:val="1F497D" w:themeColor="text2"/>
          <w:sz w:val="28"/>
          <w:szCs w:val="28"/>
          <w:lang w:val="es-ES" w:eastAsia="en-US"/>
        </w:rPr>
        <w:t xml:space="preserve"> </w:t>
      </w:r>
      <w:r w:rsidRPr="009423EA">
        <w:rPr>
          <w:rFonts w:ascii="Calibri" w:eastAsia="Calibri" w:hAnsi="Calibri"/>
          <w:sz w:val="22"/>
          <w:szCs w:val="22"/>
          <w:lang w:val="es-ES" w:eastAsia="en-US"/>
        </w:rPr>
        <w:t xml:space="preserve">Los IPC son los publicados por los Organismos Provinciales </w:t>
      </w:r>
      <w:r w:rsidR="00D1718E" w:rsidRPr="009423EA">
        <w:rPr>
          <w:rFonts w:ascii="Calibri" w:eastAsia="Calibri" w:hAnsi="Calibri"/>
          <w:sz w:val="22"/>
          <w:szCs w:val="22"/>
          <w:lang w:val="es-ES" w:eastAsia="en-US"/>
        </w:rPr>
        <w:t>de Estadí</w:t>
      </w:r>
      <w:r w:rsidR="00F55A4A" w:rsidRPr="009423EA">
        <w:rPr>
          <w:rFonts w:ascii="Calibri" w:eastAsia="Calibri" w:hAnsi="Calibri"/>
          <w:sz w:val="22"/>
          <w:szCs w:val="22"/>
          <w:lang w:val="es-ES" w:eastAsia="en-US"/>
        </w:rPr>
        <w:t xml:space="preserve">stica </w:t>
      </w:r>
      <w:r w:rsidRPr="009423EA">
        <w:rPr>
          <w:rFonts w:ascii="Calibri" w:eastAsia="Calibri" w:hAnsi="Calibri"/>
          <w:sz w:val="22"/>
          <w:szCs w:val="22"/>
          <w:lang w:val="es-ES" w:eastAsia="en-US"/>
        </w:rPr>
        <w:t>y por el Indec. Para evitar una visión sesgada en los cálculos, se toma en cuenta el valor promedio de varios IPC, especialmente para los últimos gráficos del paquete enviado. Se utilizan valores promedio mensuales como el dólar, la tasa de política monetaria y el índice tipo de cambio real multilateral. Estos números provienen del Banco Central y del Mini</w:t>
      </w:r>
      <w:r w:rsidR="00B719ED" w:rsidRPr="009423EA">
        <w:rPr>
          <w:rFonts w:ascii="Calibri" w:eastAsia="Calibri" w:hAnsi="Calibri"/>
          <w:sz w:val="22"/>
          <w:szCs w:val="22"/>
          <w:lang w:val="es-ES" w:eastAsia="en-US"/>
        </w:rPr>
        <w:t>sterio de Economía.</w:t>
      </w:r>
      <w:r w:rsidR="00591F37" w:rsidRPr="009423EA">
        <w:rPr>
          <w:rFonts w:ascii="Calibri" w:eastAsia="Calibri" w:hAnsi="Calibri"/>
          <w:sz w:val="22"/>
          <w:szCs w:val="22"/>
          <w:lang w:val="es-ES" w:eastAsia="en-US"/>
        </w:rPr>
        <w:t xml:space="preserve"> </w:t>
      </w:r>
      <w:r w:rsidR="00B04347" w:rsidRPr="009423EA">
        <w:rPr>
          <w:rFonts w:ascii="Calibri" w:eastAsia="Calibri" w:hAnsi="Calibri"/>
          <w:b/>
          <w:sz w:val="22"/>
          <w:szCs w:val="22"/>
          <w:lang w:val="es-ES" w:eastAsia="en-US"/>
        </w:rPr>
        <w:t>Dos siglos de economía argentina</w:t>
      </w:r>
      <w:r w:rsidR="00B04347" w:rsidRPr="009423EA">
        <w:rPr>
          <w:rFonts w:ascii="Calibri" w:eastAsia="Calibri" w:hAnsi="Calibri"/>
          <w:sz w:val="22"/>
          <w:szCs w:val="22"/>
          <w:lang w:val="es-ES" w:eastAsia="en-US"/>
        </w:rPr>
        <w:t xml:space="preserve">. Orlando J. Ferreres. Fundación Norte y Sur. El Ateneo. Buenos Aires 2010. </w:t>
      </w:r>
      <w:r w:rsidR="00B04347" w:rsidRPr="009423EA">
        <w:rPr>
          <w:rFonts w:ascii="Calibri" w:eastAsia="Calibri" w:hAnsi="Calibri"/>
          <w:b/>
          <w:sz w:val="22"/>
          <w:szCs w:val="22"/>
          <w:lang w:val="es-ES" w:eastAsia="en-US"/>
        </w:rPr>
        <w:t>Historia económica de la Argentina en el siglo XX</w:t>
      </w:r>
      <w:r w:rsidR="00B04347" w:rsidRPr="009423EA">
        <w:rPr>
          <w:rFonts w:ascii="Calibri" w:eastAsia="Calibri" w:hAnsi="Calibri"/>
          <w:sz w:val="22"/>
          <w:szCs w:val="22"/>
          <w:lang w:val="es-ES" w:eastAsia="en-US"/>
        </w:rPr>
        <w:t xml:space="preserve">. Laura Randal. Amorrortu editores. Buenos Aires. 1983. </w:t>
      </w:r>
      <w:r w:rsidR="00B04347" w:rsidRPr="009423EA">
        <w:rPr>
          <w:rFonts w:ascii="Calibri" w:eastAsia="Calibri" w:hAnsi="Calibri"/>
          <w:b/>
          <w:sz w:val="22"/>
          <w:szCs w:val="22"/>
          <w:lang w:val="es-ES" w:eastAsia="en-US"/>
        </w:rPr>
        <w:t>Control de Precios e Inflación</w:t>
      </w:r>
      <w:r w:rsidR="00B04347" w:rsidRPr="009423EA">
        <w:rPr>
          <w:rFonts w:ascii="Calibri" w:eastAsia="Calibri" w:hAnsi="Calibri"/>
          <w:sz w:val="22"/>
          <w:szCs w:val="22"/>
          <w:lang w:val="es-ES" w:eastAsia="en-US"/>
        </w:rPr>
        <w:t xml:space="preserve">. Fiel. Ediciones Manantial. Buenos Aires. 1990. </w:t>
      </w:r>
      <w:r w:rsidR="00B04347" w:rsidRPr="009423EA">
        <w:rPr>
          <w:rFonts w:ascii="Calibri" w:eastAsia="Calibri" w:hAnsi="Calibri"/>
          <w:b/>
          <w:sz w:val="22"/>
          <w:szCs w:val="22"/>
          <w:lang w:val="es-ES" w:eastAsia="en-US"/>
        </w:rPr>
        <w:t>La inflación. Como comprender y combatir la enfermedad crónica de la Argentina</w:t>
      </w:r>
      <w:r w:rsidR="00B04347" w:rsidRPr="009423EA">
        <w:rPr>
          <w:rFonts w:ascii="Calibri" w:eastAsia="Calibri" w:hAnsi="Calibri"/>
          <w:sz w:val="22"/>
          <w:szCs w:val="22"/>
          <w:lang w:val="es-ES" w:eastAsia="en-US"/>
        </w:rPr>
        <w:t xml:space="preserve">. Gaston Utrera. Edicon. Buenos Aires. 2013. </w:t>
      </w:r>
      <w:r w:rsidR="00B04347" w:rsidRPr="009423EA">
        <w:rPr>
          <w:rFonts w:ascii="Calibri" w:eastAsia="Calibri" w:hAnsi="Calibri"/>
          <w:b/>
          <w:sz w:val="22"/>
          <w:szCs w:val="22"/>
          <w:lang w:val="es-ES" w:eastAsia="en-US"/>
        </w:rPr>
        <w:t>Billetes Argentinos 1884 – 2016. Eduardo</w:t>
      </w:r>
      <w:r w:rsidR="00B04347" w:rsidRPr="009423EA">
        <w:rPr>
          <w:rFonts w:ascii="Calibri" w:eastAsia="Calibri" w:hAnsi="Calibri"/>
          <w:sz w:val="22"/>
          <w:szCs w:val="22"/>
          <w:lang w:val="es-ES" w:eastAsia="en-US"/>
        </w:rPr>
        <w:t xml:space="preserve"> Colantonio. Edición especial. Buenos Aires 2016. </w:t>
      </w:r>
      <w:r w:rsidR="00B04347" w:rsidRPr="009423EA">
        <w:rPr>
          <w:rFonts w:ascii="Calibri" w:eastAsia="Calibri" w:hAnsi="Calibri"/>
          <w:b/>
          <w:sz w:val="22"/>
          <w:szCs w:val="22"/>
          <w:lang w:val="es-ES" w:eastAsia="en-US"/>
        </w:rPr>
        <w:t>El mito del país rico</w:t>
      </w:r>
      <w:r w:rsidR="00B04347" w:rsidRPr="009423EA">
        <w:rPr>
          <w:rFonts w:ascii="Calibri" w:eastAsia="Calibri" w:hAnsi="Calibri"/>
          <w:sz w:val="22"/>
          <w:szCs w:val="22"/>
          <w:lang w:val="es-ES" w:eastAsia="en-US"/>
        </w:rPr>
        <w:t xml:space="preserve">. Jorge Todesca. Emecé Editores. Buenos Aires. 2006. </w:t>
      </w:r>
      <w:r w:rsidR="00B04347" w:rsidRPr="009423EA">
        <w:rPr>
          <w:rFonts w:ascii="Calibri" w:eastAsia="Calibri" w:hAnsi="Calibri"/>
          <w:b/>
          <w:sz w:val="22"/>
          <w:szCs w:val="22"/>
          <w:lang w:val="es-ES" w:eastAsia="en-US"/>
        </w:rPr>
        <w:t xml:space="preserve">Lo mejor de Inodoro Pereyra. </w:t>
      </w:r>
      <w:r w:rsidR="00B04347" w:rsidRPr="009423EA">
        <w:rPr>
          <w:rFonts w:ascii="Calibri" w:eastAsia="Calibri" w:hAnsi="Calibri"/>
          <w:sz w:val="22"/>
          <w:szCs w:val="22"/>
          <w:lang w:val="es-ES" w:eastAsia="en-US"/>
        </w:rPr>
        <w:t>Roberto Fontanarrosa. Planeta. 2017.</w:t>
      </w:r>
    </w:p>
    <w:p w14:paraId="23FF2E38" w14:textId="35326DB0" w:rsidR="009E1186" w:rsidRPr="009423EA" w:rsidRDefault="009E1186" w:rsidP="00AC625B">
      <w:pPr>
        <w:jc w:val="both"/>
        <w:rPr>
          <w:rFonts w:ascii="Calibri" w:eastAsia="Calibri" w:hAnsi="Calibri"/>
          <w:sz w:val="22"/>
          <w:szCs w:val="22"/>
          <w:lang w:val="es-ES" w:eastAsia="en-US"/>
        </w:rPr>
      </w:pPr>
    </w:p>
    <w:p w14:paraId="6EE78891" w14:textId="77777777" w:rsidR="00AC625B" w:rsidRPr="009423EA" w:rsidRDefault="00AC625B" w:rsidP="00AC625B">
      <w:pPr>
        <w:jc w:val="both"/>
        <w:rPr>
          <w:rFonts w:ascii="Calibri" w:eastAsia="Calibri" w:hAnsi="Calibri" w:cs="Times New Roman"/>
          <w:b/>
          <w:color w:val="1F497D" w:themeColor="text2"/>
          <w:sz w:val="28"/>
          <w:szCs w:val="28"/>
          <w:lang w:val="es-AR" w:eastAsia="en-US"/>
        </w:rPr>
      </w:pPr>
    </w:p>
    <w:p w14:paraId="5985B5AD" w14:textId="67CDADBA" w:rsidR="00607D6F" w:rsidRPr="009423EA" w:rsidRDefault="00607D6F" w:rsidP="00607D6F">
      <w:pPr>
        <w:spacing w:after="160" w:line="259" w:lineRule="auto"/>
        <w:jc w:val="both"/>
        <w:rPr>
          <w:rFonts w:ascii="Calibri" w:eastAsia="Calibri" w:hAnsi="Calibri" w:cs="Times New Roman"/>
          <w:b/>
          <w:color w:val="1F497D" w:themeColor="text2"/>
          <w:sz w:val="28"/>
          <w:szCs w:val="28"/>
          <w:lang w:val="es-AR" w:eastAsia="en-US"/>
        </w:rPr>
      </w:pPr>
      <w:r w:rsidRPr="009423EA">
        <w:rPr>
          <w:rFonts w:ascii="Calibri" w:eastAsia="Calibri" w:hAnsi="Calibri" w:cs="Times New Roman"/>
          <w:b/>
          <w:color w:val="1F497D" w:themeColor="text2"/>
          <w:sz w:val="28"/>
          <w:szCs w:val="28"/>
          <w:lang w:val="es-AR" w:eastAsia="en-US"/>
        </w:rPr>
        <w:t>Algunos números de distintos IPC</w:t>
      </w:r>
      <w:r w:rsidR="004B5608" w:rsidRPr="009423EA">
        <w:rPr>
          <w:rFonts w:ascii="Calibri" w:eastAsia="Calibri" w:hAnsi="Calibri" w:cs="Times New Roman"/>
          <w:b/>
          <w:color w:val="1F497D" w:themeColor="text2"/>
          <w:sz w:val="28"/>
          <w:szCs w:val="28"/>
          <w:lang w:val="es-AR" w:eastAsia="en-US"/>
        </w:rPr>
        <w:t xml:space="preserve">, </w:t>
      </w:r>
      <w:r w:rsidR="00763D5C" w:rsidRPr="009423EA">
        <w:rPr>
          <w:rFonts w:ascii="Calibri" w:eastAsia="Calibri" w:hAnsi="Calibri" w:cs="Times New Roman"/>
          <w:b/>
          <w:color w:val="1F497D" w:themeColor="text2"/>
          <w:sz w:val="28"/>
          <w:szCs w:val="28"/>
          <w:lang w:val="es-AR" w:eastAsia="en-US"/>
        </w:rPr>
        <w:t>dólar</w:t>
      </w:r>
      <w:r w:rsidR="004B5608" w:rsidRPr="009423EA">
        <w:rPr>
          <w:rFonts w:ascii="Calibri" w:eastAsia="Calibri" w:hAnsi="Calibri" w:cs="Times New Roman"/>
          <w:b/>
          <w:color w:val="1F497D" w:themeColor="text2"/>
          <w:sz w:val="28"/>
          <w:szCs w:val="28"/>
          <w:lang w:val="es-AR" w:eastAsia="en-US"/>
        </w:rPr>
        <w:t xml:space="preserve"> y dólar CCL</w:t>
      </w:r>
      <w:r w:rsidRPr="009423EA">
        <w:rPr>
          <w:rFonts w:ascii="Calibri" w:eastAsia="Calibri" w:hAnsi="Calibri" w:cs="Times New Roman"/>
          <w:b/>
          <w:color w:val="1F497D" w:themeColor="text2"/>
          <w:sz w:val="28"/>
          <w:szCs w:val="28"/>
          <w:lang w:val="es-AR" w:eastAsia="en-US"/>
        </w:rPr>
        <w:t>:</w:t>
      </w:r>
    </w:p>
    <w:p w14:paraId="31350175" w14:textId="18DA9D0B" w:rsidR="00607D6F" w:rsidRPr="009423EA" w:rsidRDefault="00763D5C" w:rsidP="00E91E95">
      <w:pPr>
        <w:spacing w:after="160" w:line="259" w:lineRule="auto"/>
        <w:jc w:val="both"/>
        <w:rPr>
          <w:rFonts w:ascii="Calibri" w:eastAsia="Calibri" w:hAnsi="Calibri"/>
          <w:sz w:val="22"/>
          <w:szCs w:val="22"/>
          <w:lang w:val="es-ES" w:eastAsia="en-US"/>
        </w:rPr>
      </w:pPr>
      <w:r w:rsidRPr="009423EA">
        <w:rPr>
          <w:rFonts w:ascii="Calibri" w:eastAsia="Calibri" w:hAnsi="Calibri"/>
          <w:sz w:val="22"/>
          <w:szCs w:val="22"/>
          <w:lang w:val="es-ES" w:eastAsia="en-US"/>
        </w:rPr>
        <w:t>Completamos l</w:t>
      </w:r>
      <w:r w:rsidR="00645793" w:rsidRPr="009423EA">
        <w:rPr>
          <w:rFonts w:ascii="Calibri" w:eastAsia="Calibri" w:hAnsi="Calibri"/>
          <w:sz w:val="22"/>
          <w:szCs w:val="22"/>
          <w:lang w:val="es-ES" w:eastAsia="en-US"/>
        </w:rPr>
        <w:t xml:space="preserve">a información de hace unos días, incluimos el dato del mes, desde diciembre </w:t>
      </w:r>
      <w:r w:rsidR="00332D9F" w:rsidRPr="009423EA">
        <w:rPr>
          <w:rFonts w:ascii="Calibri" w:eastAsia="Calibri" w:hAnsi="Calibri"/>
          <w:sz w:val="22"/>
          <w:szCs w:val="22"/>
          <w:lang w:val="es-ES" w:eastAsia="en-US"/>
        </w:rPr>
        <w:t xml:space="preserve">del </w:t>
      </w:r>
      <w:r w:rsidR="00645793" w:rsidRPr="009423EA">
        <w:rPr>
          <w:rFonts w:ascii="Calibri" w:eastAsia="Calibri" w:hAnsi="Calibri"/>
          <w:sz w:val="22"/>
          <w:szCs w:val="22"/>
          <w:lang w:val="es-ES" w:eastAsia="en-US"/>
        </w:rPr>
        <w:t>202</w:t>
      </w:r>
      <w:r w:rsidR="000E1583" w:rsidRPr="009423EA">
        <w:rPr>
          <w:rFonts w:ascii="Calibri" w:eastAsia="Calibri" w:hAnsi="Calibri"/>
          <w:sz w:val="22"/>
          <w:szCs w:val="22"/>
          <w:lang w:val="es-ES" w:eastAsia="en-US"/>
        </w:rPr>
        <w:t>1</w:t>
      </w:r>
      <w:r w:rsidR="00645793" w:rsidRPr="009423EA">
        <w:rPr>
          <w:rFonts w:ascii="Calibri" w:eastAsia="Calibri" w:hAnsi="Calibri"/>
          <w:sz w:val="22"/>
          <w:szCs w:val="22"/>
          <w:lang w:val="es-ES" w:eastAsia="en-US"/>
        </w:rPr>
        <w:t xml:space="preserve"> y 12 meses.</w:t>
      </w:r>
    </w:p>
    <w:p w14:paraId="3F2F5105" w14:textId="7D27C3F4" w:rsidR="00A5418F" w:rsidRPr="009423EA" w:rsidRDefault="009423EA" w:rsidP="00E91E95">
      <w:pPr>
        <w:spacing w:after="160" w:line="259" w:lineRule="auto"/>
        <w:jc w:val="both"/>
        <w:rPr>
          <w:rFonts w:ascii="Calibri" w:eastAsia="Calibri" w:hAnsi="Calibri"/>
          <w:sz w:val="22"/>
          <w:szCs w:val="22"/>
          <w:lang w:val="es-ES" w:eastAsia="en-US"/>
        </w:rPr>
      </w:pPr>
      <w:r w:rsidRPr="009423EA">
        <w:rPr>
          <w:noProof/>
        </w:rPr>
        <w:drawing>
          <wp:inline distT="0" distB="0" distL="0" distR="0" wp14:anchorId="18132D05" wp14:editId="453681FE">
            <wp:extent cx="4104000" cy="452790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000" cy="4527909"/>
                    </a:xfrm>
                    <a:prstGeom prst="rect">
                      <a:avLst/>
                    </a:prstGeom>
                    <a:noFill/>
                    <a:ln>
                      <a:noFill/>
                    </a:ln>
                  </pic:spPr>
                </pic:pic>
              </a:graphicData>
            </a:graphic>
          </wp:inline>
        </w:drawing>
      </w:r>
    </w:p>
    <w:p w14:paraId="799C57A5" w14:textId="40BE383C" w:rsidR="005647B5" w:rsidRPr="009423EA" w:rsidRDefault="00C506F5" w:rsidP="00E91E95">
      <w:pPr>
        <w:spacing w:after="160" w:line="259" w:lineRule="auto"/>
        <w:jc w:val="both"/>
        <w:rPr>
          <w:rFonts w:ascii="Calibri" w:eastAsia="Calibri" w:hAnsi="Calibri" w:cs="Times New Roman"/>
          <w:b/>
          <w:color w:val="1F497D" w:themeColor="text2"/>
          <w:sz w:val="28"/>
          <w:szCs w:val="28"/>
          <w:lang w:val="es-AR" w:eastAsia="en-US"/>
        </w:rPr>
      </w:pPr>
      <w:r w:rsidRPr="009423EA">
        <w:rPr>
          <w:rFonts w:ascii="Calibri" w:eastAsia="Calibri" w:hAnsi="Calibri" w:cs="Times New Roman"/>
          <w:b/>
          <w:color w:val="1F497D" w:themeColor="text2"/>
          <w:sz w:val="28"/>
          <w:szCs w:val="28"/>
          <w:lang w:val="es-AR" w:eastAsia="en-US"/>
        </w:rPr>
        <w:lastRenderedPageBreak/>
        <w:t xml:space="preserve">Una comparación </w:t>
      </w:r>
      <w:r w:rsidR="005225C1" w:rsidRPr="009423EA">
        <w:rPr>
          <w:rFonts w:ascii="Calibri" w:eastAsia="Calibri" w:hAnsi="Calibri" w:cs="Times New Roman"/>
          <w:b/>
          <w:color w:val="1F497D" w:themeColor="text2"/>
          <w:sz w:val="28"/>
          <w:szCs w:val="28"/>
          <w:lang w:val="es-AR" w:eastAsia="en-US"/>
        </w:rPr>
        <w:t>empírica: Tipos de Cambio</w:t>
      </w:r>
      <w:r w:rsidRPr="009423EA">
        <w:rPr>
          <w:rFonts w:ascii="Calibri" w:eastAsia="Calibri" w:hAnsi="Calibri" w:cs="Times New Roman"/>
          <w:b/>
          <w:color w:val="1F497D" w:themeColor="text2"/>
          <w:sz w:val="28"/>
          <w:szCs w:val="28"/>
          <w:lang w:val="es-AR" w:eastAsia="en-US"/>
        </w:rPr>
        <w:t xml:space="preserve"> </w:t>
      </w:r>
      <w:r w:rsidR="002841BD" w:rsidRPr="009423EA">
        <w:rPr>
          <w:rFonts w:ascii="Calibri" w:eastAsia="Calibri" w:hAnsi="Calibri" w:cs="Times New Roman"/>
          <w:b/>
          <w:color w:val="1F497D" w:themeColor="text2"/>
          <w:sz w:val="28"/>
          <w:szCs w:val="28"/>
          <w:lang w:val="es-AR" w:eastAsia="en-US"/>
        </w:rPr>
        <w:t xml:space="preserve">oficial y CCL </w:t>
      </w:r>
      <w:r w:rsidRPr="009423EA">
        <w:rPr>
          <w:rFonts w:ascii="Calibri" w:eastAsia="Calibri" w:hAnsi="Calibri" w:cs="Times New Roman"/>
          <w:b/>
          <w:color w:val="1F497D" w:themeColor="text2"/>
          <w:sz w:val="28"/>
          <w:szCs w:val="28"/>
          <w:lang w:val="es-AR" w:eastAsia="en-US"/>
        </w:rPr>
        <w:t>y Riesgo País</w:t>
      </w:r>
      <w:r w:rsidR="00F00BC2" w:rsidRPr="009423EA">
        <w:rPr>
          <w:rFonts w:ascii="Calibri" w:eastAsia="Calibri" w:hAnsi="Calibri" w:cs="Times New Roman"/>
          <w:b/>
          <w:color w:val="1F497D" w:themeColor="text2"/>
          <w:sz w:val="28"/>
          <w:szCs w:val="28"/>
          <w:lang w:val="es-AR" w:eastAsia="en-US"/>
        </w:rPr>
        <w:t xml:space="preserve"> (izquierda gráfico)</w:t>
      </w:r>
    </w:p>
    <w:p w14:paraId="35685F53" w14:textId="77777777"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Simplemente, para comparar puntos más elevados en los años recientes del Riesgo País: abril de 2013 (1.223), en el gobierno de CF; noviembre de 2019 (2.336), en el final de MM, y abril de 2020 (3.803), en el de AF. En la actualidad (2022 febrero) 1.761. En tanto el menor Riesgo se ubica en los finales del 2017, y luego el panorama fue otro.</w:t>
      </w:r>
    </w:p>
    <w:p w14:paraId="001DD563" w14:textId="6D83623D"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Como se puede observar, el Tipo de Cambio </w:t>
      </w:r>
      <w:r w:rsidRPr="009423EA">
        <w:rPr>
          <w:rFonts w:ascii="Calibri" w:eastAsia="Calibri" w:hAnsi="Calibri" w:cs="Times New Roman"/>
          <w:b/>
          <w:bCs/>
          <w:color w:val="000000" w:themeColor="text1"/>
          <w:sz w:val="22"/>
          <w:szCs w:val="22"/>
          <w:lang w:val="es-AR" w:eastAsia="en-US"/>
        </w:rPr>
        <w:t xml:space="preserve">Implícito </w:t>
      </w:r>
      <w:r w:rsidRPr="009423EA">
        <w:rPr>
          <w:rFonts w:ascii="Calibri" w:eastAsia="Calibri" w:hAnsi="Calibri" w:cs="Times New Roman"/>
          <w:color w:val="000000" w:themeColor="text1"/>
          <w:sz w:val="22"/>
          <w:szCs w:val="22"/>
          <w:lang w:val="es-AR" w:eastAsia="en-US"/>
        </w:rPr>
        <w:t xml:space="preserve">se encuentra en la actualidad en valores cercanos al dólar CCL, a mayor distancia que en meses anteriores y </w:t>
      </w:r>
      <w:r w:rsidR="00BA3611" w:rsidRPr="009423EA">
        <w:rPr>
          <w:rFonts w:ascii="Calibri" w:eastAsia="Calibri" w:hAnsi="Calibri" w:cs="Times New Roman"/>
          <w:color w:val="000000" w:themeColor="text1"/>
          <w:sz w:val="22"/>
          <w:szCs w:val="22"/>
          <w:lang w:val="es-AR" w:eastAsia="en-US"/>
        </w:rPr>
        <w:t>superándolo</w:t>
      </w:r>
      <w:r w:rsidRPr="009423EA">
        <w:rPr>
          <w:rFonts w:ascii="Calibri" w:eastAsia="Calibri" w:hAnsi="Calibri" w:cs="Times New Roman"/>
          <w:color w:val="000000" w:themeColor="text1"/>
          <w:sz w:val="22"/>
          <w:szCs w:val="22"/>
          <w:lang w:val="es-AR" w:eastAsia="en-US"/>
        </w:rPr>
        <w:t>. ¿Por qué? Por las acciones del BCRA</w:t>
      </w:r>
      <w:r w:rsidR="006C12C3" w:rsidRPr="009423EA">
        <w:rPr>
          <w:rFonts w:ascii="Calibri" w:eastAsia="Calibri" w:hAnsi="Calibri" w:cs="Times New Roman"/>
          <w:color w:val="000000" w:themeColor="text1"/>
          <w:sz w:val="22"/>
          <w:szCs w:val="22"/>
          <w:lang w:val="es-AR" w:eastAsia="en-US"/>
        </w:rPr>
        <w:t xml:space="preserve">, </w:t>
      </w:r>
      <w:r w:rsidRPr="009423EA">
        <w:rPr>
          <w:rFonts w:ascii="Calibri" w:eastAsia="Calibri" w:hAnsi="Calibri" w:cs="Times New Roman"/>
          <w:color w:val="000000" w:themeColor="text1"/>
          <w:sz w:val="22"/>
          <w:szCs w:val="22"/>
          <w:lang w:val="es-AR" w:eastAsia="en-US"/>
        </w:rPr>
        <w:t xml:space="preserve">pero esto se modifica mes a mes. En su momento el acuerdo con el FMI achicó la diferencia entre el dólar </w:t>
      </w:r>
      <w:r w:rsidRPr="009423EA">
        <w:rPr>
          <w:rFonts w:ascii="Calibri" w:eastAsia="Calibri" w:hAnsi="Calibri" w:cs="Times New Roman"/>
          <w:b/>
          <w:bCs/>
          <w:color w:val="000000" w:themeColor="text1"/>
          <w:sz w:val="22"/>
          <w:szCs w:val="22"/>
          <w:lang w:val="es-AR" w:eastAsia="en-US"/>
        </w:rPr>
        <w:t>implícito,</w:t>
      </w:r>
      <w:r w:rsidRPr="009423EA">
        <w:rPr>
          <w:rFonts w:ascii="Calibri" w:eastAsia="Calibri" w:hAnsi="Calibri" w:cs="Times New Roman"/>
          <w:color w:val="000000" w:themeColor="text1"/>
          <w:sz w:val="22"/>
          <w:szCs w:val="22"/>
          <w:lang w:val="es-AR" w:eastAsia="en-US"/>
        </w:rPr>
        <w:t xml:space="preserve"> el tipo de cambio oficial y el CCL. Pero es altamente </w:t>
      </w:r>
      <w:r w:rsidR="00BA3611" w:rsidRPr="009423EA">
        <w:rPr>
          <w:rFonts w:ascii="Calibri" w:eastAsia="Calibri" w:hAnsi="Calibri" w:cs="Times New Roman"/>
          <w:color w:val="000000" w:themeColor="text1"/>
          <w:sz w:val="22"/>
          <w:szCs w:val="22"/>
          <w:lang w:val="es-AR" w:eastAsia="en-US"/>
        </w:rPr>
        <w:t>dinámico</w:t>
      </w:r>
      <w:r w:rsidRPr="009423EA">
        <w:rPr>
          <w:rFonts w:ascii="Calibri" w:eastAsia="Calibri" w:hAnsi="Calibri" w:cs="Times New Roman"/>
          <w:color w:val="000000" w:themeColor="text1"/>
          <w:sz w:val="22"/>
          <w:szCs w:val="22"/>
          <w:lang w:val="es-AR" w:eastAsia="en-US"/>
        </w:rPr>
        <w:t>.</w:t>
      </w:r>
    </w:p>
    <w:p w14:paraId="138FEF77" w14:textId="00AFA9BA"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De estas relaciones no surge ninguna ley, pero sirve como evidencia empírica por lo menos en la actualidad</w:t>
      </w:r>
      <w:r w:rsidR="006C12C3"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y digamos que </w:t>
      </w:r>
      <w:r w:rsidR="006C12C3" w:rsidRPr="009423EA">
        <w:rPr>
          <w:rFonts w:ascii="Calibri" w:eastAsia="Calibri" w:hAnsi="Calibri" w:cs="Times New Roman"/>
          <w:color w:val="000000" w:themeColor="text1"/>
          <w:sz w:val="22"/>
          <w:szCs w:val="22"/>
          <w:lang w:val="es-AR" w:eastAsia="en-US"/>
        </w:rPr>
        <w:t xml:space="preserve">esta correlación entre el dólar CCL y el implícito </w:t>
      </w:r>
      <w:r w:rsidRPr="009423EA">
        <w:rPr>
          <w:rFonts w:ascii="Calibri" w:eastAsia="Calibri" w:hAnsi="Calibri" w:cs="Times New Roman"/>
          <w:color w:val="000000" w:themeColor="text1"/>
          <w:sz w:val="22"/>
          <w:szCs w:val="22"/>
          <w:lang w:val="es-AR" w:eastAsia="en-US"/>
        </w:rPr>
        <w:t xml:space="preserve">se viene </w:t>
      </w:r>
      <w:r w:rsidR="00BA3611" w:rsidRPr="009423EA">
        <w:rPr>
          <w:rFonts w:ascii="Calibri" w:eastAsia="Calibri" w:hAnsi="Calibri" w:cs="Times New Roman"/>
          <w:color w:val="000000" w:themeColor="text1"/>
          <w:sz w:val="22"/>
          <w:szCs w:val="22"/>
          <w:lang w:val="es-AR" w:eastAsia="en-US"/>
        </w:rPr>
        <w:t>observando desde mayo del 2019</w:t>
      </w:r>
      <w:r w:rsidRPr="009423EA">
        <w:rPr>
          <w:rFonts w:ascii="Calibri" w:eastAsia="Calibri" w:hAnsi="Calibri" w:cs="Times New Roman"/>
          <w:color w:val="000000" w:themeColor="text1"/>
          <w:sz w:val="22"/>
          <w:szCs w:val="22"/>
          <w:lang w:val="es-AR" w:eastAsia="en-US"/>
        </w:rPr>
        <w:t xml:space="preserve">. </w:t>
      </w:r>
    </w:p>
    <w:p w14:paraId="13E25A10" w14:textId="7E573290"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Que se puede decir: complicado por la diferencia entre el u$s oficial y el u$s CCL</w:t>
      </w:r>
      <w:r w:rsidR="007733E0"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que tanto le cuesta al BCRA. A lo anterior el riesgo País, en casi 1.761 puntos, es casi demasiado.</w:t>
      </w:r>
    </w:p>
    <w:p w14:paraId="0D684499" w14:textId="5CCDB24E"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Pero lo cierto </w:t>
      </w:r>
      <w:r w:rsidR="007733E0" w:rsidRPr="009423EA">
        <w:rPr>
          <w:rFonts w:ascii="Calibri" w:eastAsia="Calibri" w:hAnsi="Calibri" w:cs="Times New Roman"/>
          <w:color w:val="000000" w:themeColor="text1"/>
          <w:sz w:val="22"/>
          <w:szCs w:val="22"/>
          <w:lang w:val="es-AR" w:eastAsia="en-US"/>
        </w:rPr>
        <w:t xml:space="preserve">es </w:t>
      </w:r>
      <w:r w:rsidRPr="009423EA">
        <w:rPr>
          <w:rFonts w:ascii="Calibri" w:eastAsia="Calibri" w:hAnsi="Calibri" w:cs="Times New Roman"/>
          <w:color w:val="000000" w:themeColor="text1"/>
          <w:sz w:val="22"/>
          <w:szCs w:val="22"/>
          <w:lang w:val="es-AR" w:eastAsia="en-US"/>
        </w:rPr>
        <w:t xml:space="preserve">que </w:t>
      </w:r>
      <w:r w:rsidR="007733E0" w:rsidRPr="009423EA">
        <w:rPr>
          <w:rFonts w:ascii="Calibri" w:eastAsia="Calibri" w:hAnsi="Calibri" w:cs="Times New Roman"/>
          <w:color w:val="000000" w:themeColor="text1"/>
          <w:sz w:val="22"/>
          <w:szCs w:val="22"/>
          <w:lang w:val="es-AR" w:eastAsia="en-US"/>
        </w:rPr>
        <w:t xml:space="preserve">hay que remontarse a meses del 2018 y anteriores, </w:t>
      </w:r>
      <w:r w:rsidRPr="009423EA">
        <w:rPr>
          <w:rFonts w:ascii="Calibri" w:eastAsia="Calibri" w:hAnsi="Calibri" w:cs="Times New Roman"/>
          <w:color w:val="000000" w:themeColor="text1"/>
          <w:sz w:val="22"/>
          <w:szCs w:val="22"/>
          <w:lang w:val="es-AR" w:eastAsia="en-US"/>
        </w:rPr>
        <w:t xml:space="preserve">para encontrar valores donde el dólar </w:t>
      </w:r>
      <w:r w:rsidR="00BA3611" w:rsidRPr="009423EA">
        <w:rPr>
          <w:rFonts w:ascii="Calibri" w:eastAsia="Calibri" w:hAnsi="Calibri" w:cs="Times New Roman"/>
          <w:color w:val="000000" w:themeColor="text1"/>
          <w:sz w:val="22"/>
          <w:szCs w:val="22"/>
          <w:lang w:val="es-AR" w:eastAsia="en-US"/>
        </w:rPr>
        <w:t>implícito</w:t>
      </w:r>
      <w:r w:rsidRPr="009423EA">
        <w:rPr>
          <w:rFonts w:ascii="Calibri" w:eastAsia="Calibri" w:hAnsi="Calibri" w:cs="Times New Roman"/>
          <w:color w:val="000000" w:themeColor="text1"/>
          <w:sz w:val="22"/>
          <w:szCs w:val="22"/>
          <w:lang w:val="es-AR" w:eastAsia="en-US"/>
        </w:rPr>
        <w:t xml:space="preserve"> s</w:t>
      </w:r>
      <w:r w:rsidR="007733E0" w:rsidRPr="009423EA">
        <w:rPr>
          <w:rFonts w:ascii="Calibri" w:eastAsia="Calibri" w:hAnsi="Calibri" w:cs="Times New Roman"/>
          <w:color w:val="000000" w:themeColor="text1"/>
          <w:sz w:val="22"/>
          <w:szCs w:val="22"/>
          <w:lang w:val="es-AR" w:eastAsia="en-US"/>
        </w:rPr>
        <w:t>upera</w:t>
      </w:r>
      <w:r w:rsidRPr="009423EA">
        <w:rPr>
          <w:rFonts w:ascii="Calibri" w:eastAsia="Calibri" w:hAnsi="Calibri" w:cs="Times New Roman"/>
          <w:color w:val="000000" w:themeColor="text1"/>
          <w:sz w:val="22"/>
          <w:szCs w:val="22"/>
          <w:lang w:val="es-AR" w:eastAsia="en-US"/>
        </w:rPr>
        <w:t xml:space="preserve"> </w:t>
      </w:r>
      <w:r w:rsidR="007733E0" w:rsidRPr="009423EA">
        <w:rPr>
          <w:rFonts w:ascii="Calibri" w:eastAsia="Calibri" w:hAnsi="Calibri" w:cs="Times New Roman"/>
          <w:color w:val="000000" w:themeColor="text1"/>
          <w:sz w:val="22"/>
          <w:szCs w:val="22"/>
          <w:lang w:val="es-AR" w:eastAsia="en-US"/>
        </w:rPr>
        <w:t>a</w:t>
      </w:r>
      <w:r w:rsidRPr="009423EA">
        <w:rPr>
          <w:rFonts w:ascii="Calibri" w:eastAsia="Calibri" w:hAnsi="Calibri" w:cs="Times New Roman"/>
          <w:color w:val="000000" w:themeColor="text1"/>
          <w:sz w:val="22"/>
          <w:szCs w:val="22"/>
          <w:lang w:val="es-AR" w:eastAsia="en-US"/>
        </w:rPr>
        <w:t>l CCL</w:t>
      </w:r>
      <w:r w:rsidR="007733E0"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w:t>
      </w:r>
      <w:r w:rsidR="009423EA">
        <w:rPr>
          <w:rFonts w:ascii="Calibri" w:eastAsia="Calibri" w:hAnsi="Calibri" w:cs="Times New Roman"/>
          <w:color w:val="000000" w:themeColor="text1"/>
          <w:sz w:val="22"/>
          <w:szCs w:val="22"/>
          <w:lang w:val="es-AR" w:eastAsia="en-US"/>
        </w:rPr>
        <w:t xml:space="preserve"> </w:t>
      </w:r>
      <w:r w:rsidRPr="009423EA">
        <w:rPr>
          <w:rFonts w:ascii="Calibri" w:eastAsia="Calibri" w:hAnsi="Calibri" w:cs="Times New Roman"/>
          <w:color w:val="000000" w:themeColor="text1"/>
          <w:sz w:val="22"/>
          <w:szCs w:val="22"/>
          <w:lang w:val="es-AR" w:eastAsia="en-US"/>
        </w:rPr>
        <w:t>Esto se puede seguir con detenimiento en el gráfico.</w:t>
      </w:r>
    </w:p>
    <w:p w14:paraId="62F9FA4A" w14:textId="1D066F44" w:rsidR="00BF69AC" w:rsidRPr="009423EA" w:rsidRDefault="00195932" w:rsidP="00E91E95">
      <w:pPr>
        <w:spacing w:after="160" w:line="259" w:lineRule="auto"/>
        <w:jc w:val="both"/>
        <w:rPr>
          <w:rFonts w:ascii="Calibri" w:eastAsia="Calibri" w:hAnsi="Calibri" w:cs="Times New Roman"/>
          <w:color w:val="000000" w:themeColor="text1"/>
          <w:sz w:val="22"/>
          <w:szCs w:val="22"/>
          <w:lang w:val="es-AR" w:eastAsia="en-US"/>
        </w:rPr>
      </w:pPr>
      <w:r>
        <w:rPr>
          <w:rFonts w:ascii="Calibri" w:eastAsia="Calibri" w:hAnsi="Calibri" w:cs="Times New Roman"/>
          <w:noProof/>
          <w:color w:val="000000" w:themeColor="text1"/>
          <w:sz w:val="22"/>
          <w:szCs w:val="22"/>
          <w:lang w:val="es-AR" w:eastAsia="es-AR"/>
        </w:rPr>
        <w:drawing>
          <wp:inline distT="0" distB="0" distL="0" distR="0" wp14:anchorId="21655DED" wp14:editId="43CB156E">
            <wp:extent cx="4459823" cy="324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9823" cy="3240000"/>
                    </a:xfrm>
                    <a:prstGeom prst="rect">
                      <a:avLst/>
                    </a:prstGeom>
                    <a:noFill/>
                  </pic:spPr>
                </pic:pic>
              </a:graphicData>
            </a:graphic>
          </wp:inline>
        </w:drawing>
      </w:r>
    </w:p>
    <w:p w14:paraId="6D8A409E" w14:textId="0952D7CC" w:rsidR="00607D6F" w:rsidRPr="009423EA" w:rsidRDefault="003F2673" w:rsidP="006424F3">
      <w:pPr>
        <w:spacing w:after="160" w:line="259" w:lineRule="auto"/>
        <w:jc w:val="both"/>
        <w:rPr>
          <w:rFonts w:ascii="Calibri" w:eastAsia="Calibri" w:hAnsi="Calibri" w:cs="Times New Roman"/>
          <w:sz w:val="22"/>
          <w:szCs w:val="22"/>
          <w:lang w:val="es-AR" w:eastAsia="en-US"/>
        </w:rPr>
      </w:pPr>
      <w:r w:rsidRPr="009423EA">
        <w:rPr>
          <w:rFonts w:ascii="Calibri" w:eastAsia="Calibri" w:hAnsi="Calibri" w:cs="Times New Roman"/>
          <w:b/>
          <w:color w:val="1F497D" w:themeColor="text2"/>
          <w:sz w:val="28"/>
          <w:szCs w:val="28"/>
          <w:lang w:val="es-AR" w:eastAsia="en-US"/>
        </w:rPr>
        <w:t>Tres conjeturas:</w:t>
      </w:r>
      <w:r w:rsidR="0086039A" w:rsidRPr="009423EA">
        <w:rPr>
          <w:rFonts w:ascii="Calibri" w:eastAsia="Calibri" w:hAnsi="Calibri" w:cs="Times New Roman"/>
          <w:b/>
          <w:color w:val="1F497D" w:themeColor="text2"/>
          <w:sz w:val="28"/>
          <w:szCs w:val="28"/>
          <w:lang w:val="es-AR" w:eastAsia="en-US"/>
        </w:rPr>
        <w:t xml:space="preserve"> del </w:t>
      </w:r>
      <w:r w:rsidR="003562EA" w:rsidRPr="009423EA">
        <w:rPr>
          <w:rFonts w:ascii="Calibri" w:eastAsia="Calibri" w:hAnsi="Calibri" w:cs="Times New Roman"/>
          <w:b/>
          <w:color w:val="1F497D" w:themeColor="text2"/>
          <w:sz w:val="28"/>
          <w:szCs w:val="28"/>
          <w:lang w:val="es-AR" w:eastAsia="en-US"/>
        </w:rPr>
        <w:t>REM,</w:t>
      </w:r>
      <w:r w:rsidR="0086039A" w:rsidRPr="009423EA">
        <w:rPr>
          <w:rFonts w:ascii="Calibri" w:eastAsia="Calibri" w:hAnsi="Calibri" w:cs="Times New Roman"/>
          <w:b/>
          <w:color w:val="1F497D" w:themeColor="text2"/>
          <w:sz w:val="28"/>
          <w:szCs w:val="28"/>
          <w:lang w:val="es-AR" w:eastAsia="en-US"/>
        </w:rPr>
        <w:t xml:space="preserve"> del Promedio </w:t>
      </w:r>
      <w:r w:rsidRPr="009423EA">
        <w:rPr>
          <w:rFonts w:ascii="Calibri" w:eastAsia="Calibri" w:hAnsi="Calibri" w:cs="Times New Roman"/>
          <w:b/>
          <w:color w:val="1F497D" w:themeColor="text2"/>
          <w:sz w:val="28"/>
          <w:szCs w:val="28"/>
          <w:lang w:val="es-AR" w:eastAsia="en-US"/>
        </w:rPr>
        <w:t>202</w:t>
      </w:r>
      <w:r w:rsidR="00976037" w:rsidRPr="009423EA">
        <w:rPr>
          <w:rFonts w:ascii="Calibri" w:eastAsia="Calibri" w:hAnsi="Calibri" w:cs="Times New Roman"/>
          <w:b/>
          <w:color w:val="1F497D" w:themeColor="text2"/>
          <w:sz w:val="28"/>
          <w:szCs w:val="28"/>
          <w:lang w:val="es-AR" w:eastAsia="en-US"/>
        </w:rPr>
        <w:t>1</w:t>
      </w:r>
      <w:r w:rsidRPr="009423EA">
        <w:rPr>
          <w:rFonts w:ascii="Calibri" w:eastAsia="Calibri" w:hAnsi="Calibri" w:cs="Times New Roman"/>
          <w:b/>
          <w:color w:val="1F497D" w:themeColor="text2"/>
          <w:sz w:val="28"/>
          <w:szCs w:val="28"/>
          <w:lang w:val="es-AR" w:eastAsia="en-US"/>
        </w:rPr>
        <w:t xml:space="preserve"> y </w:t>
      </w:r>
      <w:r w:rsidR="00304DF8" w:rsidRPr="009423EA">
        <w:rPr>
          <w:rFonts w:ascii="Calibri" w:eastAsia="Calibri" w:hAnsi="Calibri" w:cs="Times New Roman"/>
          <w:b/>
          <w:color w:val="1F497D" w:themeColor="text2"/>
          <w:sz w:val="28"/>
          <w:szCs w:val="28"/>
          <w:lang w:val="es-AR" w:eastAsia="en-US"/>
        </w:rPr>
        <w:t xml:space="preserve">del </w:t>
      </w:r>
      <w:r w:rsidRPr="009423EA">
        <w:rPr>
          <w:rFonts w:ascii="Calibri" w:eastAsia="Calibri" w:hAnsi="Calibri" w:cs="Times New Roman"/>
          <w:b/>
          <w:color w:val="1F497D" w:themeColor="text2"/>
          <w:sz w:val="28"/>
          <w:szCs w:val="28"/>
          <w:lang w:val="es-AR" w:eastAsia="en-US"/>
        </w:rPr>
        <w:t>Presupuesto Nacional</w:t>
      </w:r>
      <w:r w:rsidR="00465FAD" w:rsidRPr="009423EA">
        <w:rPr>
          <w:rFonts w:ascii="Calibri" w:eastAsia="Calibri" w:hAnsi="Calibri" w:cs="Times New Roman"/>
          <w:b/>
          <w:color w:val="1F497D" w:themeColor="text2"/>
          <w:sz w:val="28"/>
          <w:szCs w:val="28"/>
          <w:lang w:val="es-AR" w:eastAsia="en-US"/>
        </w:rPr>
        <w:t xml:space="preserve"> 202</w:t>
      </w:r>
      <w:r w:rsidR="00976037" w:rsidRPr="009423EA">
        <w:rPr>
          <w:rFonts w:ascii="Calibri" w:eastAsia="Calibri" w:hAnsi="Calibri" w:cs="Times New Roman"/>
          <w:b/>
          <w:color w:val="1F497D" w:themeColor="text2"/>
          <w:sz w:val="28"/>
          <w:szCs w:val="28"/>
          <w:lang w:val="es-AR" w:eastAsia="en-US"/>
        </w:rPr>
        <w:t>2</w:t>
      </w:r>
      <w:r w:rsidR="00E21DF8" w:rsidRPr="009423EA">
        <w:rPr>
          <w:rFonts w:ascii="Calibri" w:eastAsia="Calibri" w:hAnsi="Calibri" w:cs="Times New Roman"/>
          <w:b/>
          <w:color w:val="1F497D" w:themeColor="text2"/>
          <w:sz w:val="28"/>
          <w:szCs w:val="28"/>
          <w:lang w:val="es-AR" w:eastAsia="en-US"/>
        </w:rPr>
        <w:t>.</w:t>
      </w:r>
      <w:r w:rsidR="00855AFC" w:rsidRPr="009423EA">
        <w:rPr>
          <w:rFonts w:ascii="Calibri" w:eastAsia="Calibri" w:hAnsi="Calibri" w:cs="Times New Roman"/>
          <w:b/>
          <w:color w:val="1F497D" w:themeColor="text2"/>
          <w:sz w:val="28"/>
          <w:szCs w:val="28"/>
          <w:lang w:val="es-AR" w:eastAsia="en-US"/>
        </w:rPr>
        <w:t xml:space="preserve"> </w:t>
      </w:r>
    </w:p>
    <w:p w14:paraId="6FFD4884" w14:textId="77777777"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Aclaración: Utilizamos el promedio mensual de los IPC del Indec Gran Bs As, Ciudad de Buenos Aires y Provincias, como se presentan en el cuadro.</w:t>
      </w:r>
    </w:p>
    <w:p w14:paraId="62D3F45A" w14:textId="1CD8BD1D"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Se </w:t>
      </w:r>
      <w:r w:rsidR="006C12C3" w:rsidRPr="009423EA">
        <w:rPr>
          <w:rFonts w:ascii="Calibri" w:eastAsia="Calibri" w:hAnsi="Calibri" w:cs="Times New Roman"/>
          <w:bCs/>
          <w:color w:val="000000" w:themeColor="text1"/>
          <w:sz w:val="22"/>
          <w:szCs w:val="22"/>
          <w:lang w:val="es-AR" w:eastAsia="en-US"/>
        </w:rPr>
        <w:t>superaron</w:t>
      </w:r>
      <w:r w:rsidRPr="009423EA">
        <w:rPr>
          <w:rFonts w:ascii="Calibri" w:eastAsia="Calibri" w:hAnsi="Calibri" w:cs="Times New Roman"/>
          <w:bCs/>
          <w:color w:val="000000" w:themeColor="text1"/>
          <w:sz w:val="22"/>
          <w:szCs w:val="22"/>
          <w:lang w:val="es-AR" w:eastAsia="en-US"/>
        </w:rPr>
        <w:t xml:space="preserve"> cifras</w:t>
      </w:r>
      <w:r w:rsidR="006C12C3" w:rsidRPr="009423EA">
        <w:rPr>
          <w:rFonts w:ascii="Calibri" w:eastAsia="Calibri" w:hAnsi="Calibri" w:cs="Times New Roman"/>
          <w:bCs/>
          <w:color w:val="000000" w:themeColor="text1"/>
          <w:sz w:val="22"/>
          <w:szCs w:val="22"/>
          <w:lang w:val="es-AR" w:eastAsia="en-US"/>
        </w:rPr>
        <w:t xml:space="preserve"> promedio</w:t>
      </w:r>
      <w:r w:rsidR="00BA3611" w:rsidRPr="009423EA">
        <w:rPr>
          <w:rFonts w:ascii="Calibri" w:eastAsia="Calibri" w:hAnsi="Calibri" w:cs="Times New Roman"/>
          <w:bCs/>
          <w:color w:val="000000" w:themeColor="text1"/>
          <w:sz w:val="22"/>
          <w:szCs w:val="22"/>
          <w:lang w:val="es-AR" w:eastAsia="en-US"/>
        </w:rPr>
        <w:t xml:space="preserve"> de años anteriores</w:t>
      </w:r>
      <w:r w:rsidRPr="009423EA">
        <w:rPr>
          <w:rFonts w:ascii="Calibri" w:eastAsia="Calibri" w:hAnsi="Calibri" w:cs="Times New Roman"/>
          <w:bCs/>
          <w:color w:val="000000" w:themeColor="text1"/>
          <w:sz w:val="22"/>
          <w:szCs w:val="22"/>
          <w:lang w:val="es-AR" w:eastAsia="en-US"/>
        </w:rPr>
        <w:t xml:space="preserve"> en esta primera aproximación en </w:t>
      </w:r>
      <w:r w:rsidR="00BA3611" w:rsidRPr="009423EA">
        <w:rPr>
          <w:rFonts w:ascii="Calibri" w:eastAsia="Calibri" w:hAnsi="Calibri" w:cs="Times New Roman"/>
          <w:bCs/>
          <w:color w:val="000000" w:themeColor="text1"/>
          <w:sz w:val="22"/>
          <w:szCs w:val="22"/>
          <w:lang w:val="es-AR" w:eastAsia="en-US"/>
        </w:rPr>
        <w:t>términos</w:t>
      </w:r>
      <w:r w:rsidRPr="009423EA">
        <w:rPr>
          <w:rFonts w:ascii="Calibri" w:eastAsia="Calibri" w:hAnsi="Calibri" w:cs="Times New Roman"/>
          <w:bCs/>
          <w:color w:val="000000" w:themeColor="text1"/>
          <w:sz w:val="22"/>
          <w:szCs w:val="22"/>
          <w:lang w:val="es-AR" w:eastAsia="en-US"/>
        </w:rPr>
        <w:t xml:space="preserve"> interanuales o sea </w:t>
      </w:r>
      <w:r w:rsidRPr="009423EA">
        <w:rPr>
          <w:rFonts w:ascii="Calibri" w:eastAsia="Calibri" w:hAnsi="Calibri" w:cs="Times New Roman"/>
          <w:b/>
          <w:bCs/>
          <w:color w:val="000000" w:themeColor="text1"/>
          <w:sz w:val="22"/>
          <w:szCs w:val="22"/>
          <w:lang w:val="es-AR" w:eastAsia="en-US"/>
        </w:rPr>
        <w:t>FEBRERO 22 / FEBRERO 2021</w:t>
      </w:r>
      <w:r w:rsidRPr="009423EA">
        <w:rPr>
          <w:rFonts w:ascii="Calibri" w:eastAsia="Calibri" w:hAnsi="Calibri" w:cs="Times New Roman"/>
          <w:bCs/>
          <w:color w:val="000000" w:themeColor="text1"/>
          <w:sz w:val="22"/>
          <w:szCs w:val="22"/>
          <w:lang w:val="es-AR" w:eastAsia="en-US"/>
        </w:rPr>
        <w:t>, pintando un panora</w:t>
      </w:r>
      <w:r w:rsidR="00BA3611" w:rsidRPr="009423EA">
        <w:rPr>
          <w:rFonts w:ascii="Calibri" w:eastAsia="Calibri" w:hAnsi="Calibri" w:cs="Times New Roman"/>
          <w:bCs/>
          <w:color w:val="000000" w:themeColor="text1"/>
          <w:sz w:val="22"/>
          <w:szCs w:val="22"/>
          <w:lang w:val="es-AR" w:eastAsia="en-US"/>
        </w:rPr>
        <w:t>ma</w:t>
      </w:r>
      <w:r w:rsidRPr="009423EA">
        <w:rPr>
          <w:rFonts w:ascii="Calibri" w:eastAsia="Calibri" w:hAnsi="Calibri" w:cs="Times New Roman"/>
          <w:bCs/>
          <w:color w:val="000000" w:themeColor="text1"/>
          <w:sz w:val="22"/>
          <w:szCs w:val="22"/>
          <w:lang w:val="es-AR" w:eastAsia="en-US"/>
        </w:rPr>
        <w:t xml:space="preserve"> de entrada complicado.</w:t>
      </w:r>
    </w:p>
    <w:p w14:paraId="7851F908" w14:textId="26905251"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Ver con atención el gráfico por cuanto permite seguir con una sola mirada los valores anuales (12 meses), las variaciones acumuladas en cada año (</w:t>
      </w:r>
      <w:r w:rsidR="006C12C3" w:rsidRPr="009423EA">
        <w:rPr>
          <w:rFonts w:ascii="Calibri" w:eastAsia="Calibri" w:hAnsi="Calibri" w:cs="Times New Roman"/>
          <w:bCs/>
          <w:color w:val="000000" w:themeColor="text1"/>
          <w:sz w:val="22"/>
          <w:szCs w:val="22"/>
          <w:lang w:val="es-AR" w:eastAsia="en-US"/>
        </w:rPr>
        <w:t>a</w:t>
      </w:r>
      <w:r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
          <w:bCs/>
          <w:color w:val="000000" w:themeColor="text1"/>
          <w:sz w:val="22"/>
          <w:szCs w:val="22"/>
          <w:lang w:val="es-AR" w:eastAsia="en-US"/>
        </w:rPr>
        <w:t xml:space="preserve">FEBRERO </w:t>
      </w:r>
      <w:r w:rsidR="006C12C3" w:rsidRPr="009423EA">
        <w:rPr>
          <w:rFonts w:ascii="Calibri" w:eastAsia="Calibri" w:hAnsi="Calibri" w:cs="Times New Roman"/>
          <w:bCs/>
          <w:color w:val="000000" w:themeColor="text1"/>
          <w:sz w:val="22"/>
          <w:szCs w:val="22"/>
          <w:lang w:val="es-AR" w:eastAsia="en-US"/>
        </w:rPr>
        <w:t>del</w:t>
      </w:r>
      <w:r w:rsidR="006C12C3" w:rsidRPr="009423EA">
        <w:rPr>
          <w:rFonts w:ascii="Calibri" w:eastAsia="Calibri" w:hAnsi="Calibri" w:cs="Times New Roman"/>
          <w:b/>
          <w:bCs/>
          <w:color w:val="000000" w:themeColor="text1"/>
          <w:sz w:val="22"/>
          <w:szCs w:val="22"/>
          <w:lang w:val="es-AR" w:eastAsia="en-US"/>
        </w:rPr>
        <w:t xml:space="preserve"> </w:t>
      </w:r>
      <w:r w:rsidRPr="009423EA">
        <w:rPr>
          <w:rFonts w:ascii="Calibri" w:eastAsia="Calibri" w:hAnsi="Calibri" w:cs="Times New Roman"/>
          <w:b/>
          <w:bCs/>
          <w:color w:val="000000" w:themeColor="text1"/>
          <w:sz w:val="22"/>
          <w:szCs w:val="22"/>
          <w:lang w:val="es-AR" w:eastAsia="en-US"/>
        </w:rPr>
        <w:t>2022</w:t>
      </w:r>
      <w:r w:rsidRPr="009423EA">
        <w:rPr>
          <w:rFonts w:ascii="Calibri" w:eastAsia="Calibri" w:hAnsi="Calibri" w:cs="Times New Roman"/>
          <w:bCs/>
          <w:color w:val="000000" w:themeColor="text1"/>
          <w:sz w:val="22"/>
          <w:szCs w:val="22"/>
          <w:lang w:val="es-AR" w:eastAsia="en-US"/>
        </w:rPr>
        <w:t>), los porcentajes por mes y tres conjeturas. No es fácil predecir en Argentina, doblemente hoy con el post Covid-19</w:t>
      </w:r>
      <w:r w:rsidR="007733E0"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alterando al mundo y por si fuera poco la </w:t>
      </w:r>
      <w:r w:rsidRPr="009423EA">
        <w:rPr>
          <w:rFonts w:ascii="Calibri" w:eastAsia="Calibri" w:hAnsi="Calibri" w:cs="Times New Roman"/>
          <w:bCs/>
          <w:color w:val="000000" w:themeColor="text1"/>
          <w:sz w:val="22"/>
          <w:szCs w:val="22"/>
          <w:lang w:val="es-AR" w:eastAsia="en-US"/>
        </w:rPr>
        <w:lastRenderedPageBreak/>
        <w:t>invasión de Putin a Rusia. Pero se cierra el año (2020) con una inflación del 36 % a/a y el 2021 con el 51 %. Se puede observar que el acumulado de 12 meses del 2022 resulta superior al año calendario 2020 y al 2018, casi similar al 2019</w:t>
      </w:r>
      <w:r w:rsidR="007733E0"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o sea muy elevado.</w:t>
      </w:r>
    </w:p>
    <w:p w14:paraId="7BCBAE06" w14:textId="6A345679"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Como dijimos al inicio la variación promedio interanual no da treguas</w:t>
      </w:r>
      <w:r w:rsidR="007733E0" w:rsidRPr="009423EA">
        <w:rPr>
          <w:rFonts w:ascii="Calibri" w:eastAsia="Calibri" w:hAnsi="Calibri" w:cs="Times New Roman"/>
          <w:bCs/>
          <w:color w:val="000000" w:themeColor="text1"/>
          <w:sz w:val="22"/>
          <w:szCs w:val="22"/>
          <w:lang w:val="es-AR" w:eastAsia="en-US"/>
        </w:rPr>
        <w:t xml:space="preserve"> por el momento</w:t>
      </w:r>
      <w:r w:rsidRPr="009423EA">
        <w:rPr>
          <w:rFonts w:ascii="Calibri" w:eastAsia="Calibri" w:hAnsi="Calibri" w:cs="Times New Roman"/>
          <w:bCs/>
          <w:color w:val="000000" w:themeColor="text1"/>
          <w:sz w:val="22"/>
          <w:szCs w:val="22"/>
          <w:lang w:val="es-AR" w:eastAsia="en-US"/>
        </w:rPr>
        <w:t xml:space="preserve">, </w:t>
      </w:r>
      <w:r w:rsidR="007733E0" w:rsidRPr="009423EA">
        <w:rPr>
          <w:rFonts w:ascii="Calibri" w:eastAsia="Calibri" w:hAnsi="Calibri" w:cs="Times New Roman"/>
          <w:bCs/>
          <w:color w:val="000000" w:themeColor="text1"/>
          <w:sz w:val="22"/>
          <w:szCs w:val="22"/>
          <w:lang w:val="es-AR" w:eastAsia="en-US"/>
        </w:rPr>
        <w:t>no hay</w:t>
      </w:r>
      <w:r w:rsidRPr="009423EA">
        <w:rPr>
          <w:rFonts w:ascii="Calibri" w:eastAsia="Calibri" w:hAnsi="Calibri" w:cs="Times New Roman"/>
          <w:bCs/>
          <w:color w:val="000000" w:themeColor="text1"/>
          <w:sz w:val="22"/>
          <w:szCs w:val="22"/>
          <w:lang w:val="es-AR" w:eastAsia="en-US"/>
        </w:rPr>
        <w:t xml:space="preserve"> </w:t>
      </w:r>
      <w:r w:rsidR="00BA3611" w:rsidRPr="009423EA">
        <w:rPr>
          <w:rFonts w:ascii="Calibri" w:eastAsia="Calibri" w:hAnsi="Calibri" w:cs="Times New Roman"/>
          <w:bCs/>
          <w:color w:val="000000" w:themeColor="text1"/>
          <w:sz w:val="22"/>
          <w:szCs w:val="22"/>
          <w:lang w:val="es-AR" w:eastAsia="en-US"/>
        </w:rPr>
        <w:t>logros evidentes</w:t>
      </w:r>
      <w:r w:rsidRPr="009423EA">
        <w:rPr>
          <w:rFonts w:ascii="Calibri" w:eastAsia="Calibri" w:hAnsi="Calibri" w:cs="Times New Roman"/>
          <w:bCs/>
          <w:color w:val="000000" w:themeColor="text1"/>
          <w:sz w:val="22"/>
          <w:szCs w:val="22"/>
          <w:lang w:val="es-AR" w:eastAsia="en-US"/>
        </w:rPr>
        <w:t xml:space="preserve"> para la contención.</w:t>
      </w:r>
    </w:p>
    <w:p w14:paraId="4FE021C7" w14:textId="431FF8D9"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Se van viendo las variaciones necesarias a partir del mes de </w:t>
      </w:r>
      <w:r w:rsidRPr="009423EA">
        <w:rPr>
          <w:rFonts w:ascii="Calibri" w:eastAsia="Calibri" w:hAnsi="Calibri" w:cs="Times New Roman"/>
          <w:b/>
          <w:bCs/>
          <w:color w:val="000000" w:themeColor="text1"/>
          <w:sz w:val="22"/>
          <w:szCs w:val="22"/>
          <w:lang w:val="es-AR" w:eastAsia="en-US"/>
        </w:rPr>
        <w:t xml:space="preserve">enero del 2022 </w:t>
      </w:r>
      <w:r w:rsidRPr="009423EA">
        <w:rPr>
          <w:rFonts w:ascii="Calibri" w:eastAsia="Calibri" w:hAnsi="Calibri" w:cs="Times New Roman"/>
          <w:b/>
          <w:bCs/>
          <w:color w:val="000000" w:themeColor="text1"/>
          <w:sz w:val="22"/>
          <w:szCs w:val="22"/>
          <w:u w:val="single"/>
          <w:lang w:val="es-AR" w:eastAsia="en-US"/>
        </w:rPr>
        <w:t>a diciembre del 2022</w:t>
      </w:r>
      <w:r w:rsidRPr="009423EA">
        <w:rPr>
          <w:rFonts w:ascii="Calibri" w:eastAsia="Calibri" w:hAnsi="Calibri" w:cs="Times New Roman"/>
          <w:bCs/>
          <w:color w:val="000000" w:themeColor="text1"/>
          <w:sz w:val="22"/>
          <w:szCs w:val="22"/>
          <w:lang w:val="es-AR" w:eastAsia="en-US"/>
        </w:rPr>
        <w:t xml:space="preserve"> para cumplir con las distintas propuestas conocidas: (1) </w:t>
      </w:r>
      <w:r w:rsidRPr="009423EA">
        <w:rPr>
          <w:rFonts w:ascii="Calibri" w:eastAsia="Calibri" w:hAnsi="Calibri" w:cs="Times New Roman"/>
          <w:b/>
          <w:bCs/>
          <w:color w:val="000000" w:themeColor="text1"/>
          <w:sz w:val="22"/>
          <w:szCs w:val="22"/>
          <w:lang w:val="es-AR" w:eastAsia="en-US"/>
        </w:rPr>
        <w:t xml:space="preserve">Presupuesto Nacional, (2) REM </w:t>
      </w:r>
      <w:r w:rsidRPr="009423EA">
        <w:rPr>
          <w:rFonts w:ascii="Calibri" w:eastAsia="Calibri" w:hAnsi="Calibri" w:cs="Times New Roman"/>
          <w:bCs/>
          <w:color w:val="000000" w:themeColor="text1"/>
          <w:sz w:val="22"/>
          <w:szCs w:val="22"/>
          <w:lang w:val="es-AR" w:eastAsia="en-US"/>
        </w:rPr>
        <w:t xml:space="preserve">(Relevamiento Expectativas de Mercado BCRA) y (3) </w:t>
      </w:r>
      <w:r w:rsidRPr="009423EA">
        <w:rPr>
          <w:rFonts w:ascii="Calibri" w:eastAsia="Calibri" w:hAnsi="Calibri" w:cs="Times New Roman"/>
          <w:b/>
          <w:bCs/>
          <w:color w:val="000000" w:themeColor="text1"/>
          <w:sz w:val="22"/>
          <w:szCs w:val="22"/>
          <w:lang w:val="es-AR" w:eastAsia="en-US"/>
        </w:rPr>
        <w:t>Promedio Último Año</w:t>
      </w:r>
      <w:r w:rsidRPr="009423EA">
        <w:rPr>
          <w:rFonts w:ascii="Calibri" w:eastAsia="Calibri" w:hAnsi="Calibri" w:cs="Times New Roman"/>
          <w:bCs/>
          <w:color w:val="000000" w:themeColor="text1"/>
          <w:sz w:val="22"/>
          <w:szCs w:val="22"/>
          <w:lang w:val="es-AR" w:eastAsia="en-US"/>
        </w:rPr>
        <w:t>; no siempre (las conjeturas) fueron las más acertadas. ¿Pero se podría conjeturar mejor dada la alta volatilidad? Para cumplir con las expectativas iniciales</w:t>
      </w:r>
      <w:r w:rsidR="00FA254F"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o sea para finalizar el 2022</w:t>
      </w:r>
      <w:r w:rsidR="00FA254F"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el </w:t>
      </w:r>
      <w:r w:rsidRPr="009423EA">
        <w:rPr>
          <w:rFonts w:ascii="Calibri" w:eastAsia="Calibri" w:hAnsi="Calibri" w:cs="Times New Roman"/>
          <w:b/>
          <w:bCs/>
          <w:color w:val="000000" w:themeColor="text1"/>
          <w:sz w:val="22"/>
          <w:szCs w:val="22"/>
          <w:lang w:val="es-AR" w:eastAsia="en-US"/>
        </w:rPr>
        <w:t xml:space="preserve">Promedio 51 %, </w:t>
      </w:r>
      <w:r w:rsidRPr="009423EA">
        <w:rPr>
          <w:rFonts w:ascii="Calibri" w:eastAsia="Calibri" w:hAnsi="Calibri" w:cs="Times New Roman"/>
          <w:bCs/>
          <w:color w:val="000000" w:themeColor="text1"/>
          <w:sz w:val="22"/>
          <w:szCs w:val="22"/>
          <w:lang w:val="es-AR" w:eastAsia="en-US"/>
        </w:rPr>
        <w:t xml:space="preserve">el </w:t>
      </w:r>
      <w:r w:rsidRPr="009423EA">
        <w:rPr>
          <w:rFonts w:ascii="Calibri" w:eastAsia="Calibri" w:hAnsi="Calibri" w:cs="Times New Roman"/>
          <w:b/>
          <w:bCs/>
          <w:color w:val="000000" w:themeColor="text1"/>
          <w:sz w:val="22"/>
          <w:szCs w:val="22"/>
          <w:lang w:val="es-AR" w:eastAsia="en-US"/>
        </w:rPr>
        <w:t xml:space="preserve">REM 55 % </w:t>
      </w:r>
      <w:r w:rsidRPr="009423EA">
        <w:rPr>
          <w:rFonts w:ascii="Calibri" w:eastAsia="Calibri" w:hAnsi="Calibri" w:cs="Times New Roman"/>
          <w:bCs/>
          <w:color w:val="000000" w:themeColor="text1"/>
          <w:sz w:val="22"/>
          <w:szCs w:val="22"/>
          <w:lang w:val="es-AR" w:eastAsia="en-US"/>
        </w:rPr>
        <w:t xml:space="preserve">y el pronóstico del </w:t>
      </w:r>
      <w:r w:rsidRPr="009423EA">
        <w:rPr>
          <w:rFonts w:ascii="Calibri" w:eastAsia="Calibri" w:hAnsi="Calibri" w:cs="Times New Roman"/>
          <w:b/>
          <w:bCs/>
          <w:color w:val="000000" w:themeColor="text1"/>
          <w:sz w:val="22"/>
          <w:szCs w:val="22"/>
          <w:lang w:val="es-AR" w:eastAsia="en-US"/>
        </w:rPr>
        <w:t xml:space="preserve">Presupuesto del 2021 con 33 % </w:t>
      </w:r>
      <w:r w:rsidRPr="009423EA">
        <w:rPr>
          <w:rFonts w:ascii="Calibri" w:eastAsia="Calibri" w:hAnsi="Calibri" w:cs="Times New Roman"/>
          <w:bCs/>
          <w:color w:val="000000" w:themeColor="text1"/>
          <w:sz w:val="22"/>
          <w:szCs w:val="22"/>
          <w:lang w:val="es-AR" w:eastAsia="en-US"/>
        </w:rPr>
        <w:t xml:space="preserve">se requiere </w:t>
      </w:r>
      <w:r w:rsidR="00BA3611" w:rsidRPr="009423EA">
        <w:rPr>
          <w:rFonts w:ascii="Calibri" w:eastAsia="Calibri" w:hAnsi="Calibri" w:cs="Times New Roman"/>
          <w:bCs/>
          <w:color w:val="000000" w:themeColor="text1"/>
          <w:sz w:val="22"/>
          <w:szCs w:val="22"/>
          <w:lang w:val="es-AR" w:eastAsia="en-US"/>
        </w:rPr>
        <w:t>paciencia</w:t>
      </w:r>
      <w:r w:rsidRPr="009423EA">
        <w:rPr>
          <w:rFonts w:ascii="Calibri" w:eastAsia="Calibri" w:hAnsi="Calibri" w:cs="Times New Roman"/>
          <w:bCs/>
          <w:color w:val="000000" w:themeColor="text1"/>
          <w:sz w:val="22"/>
          <w:szCs w:val="22"/>
          <w:lang w:val="es-AR" w:eastAsia="en-US"/>
        </w:rPr>
        <w:t xml:space="preserve"> y medidas.  L</w:t>
      </w:r>
      <w:r w:rsidRPr="009423EA">
        <w:rPr>
          <w:rFonts w:ascii="Calibri" w:eastAsia="Calibri" w:hAnsi="Calibri" w:cs="Times New Roman"/>
          <w:b/>
          <w:bCs/>
          <w:color w:val="000000" w:themeColor="text1"/>
          <w:sz w:val="22"/>
          <w:szCs w:val="22"/>
          <w:lang w:val="es-AR" w:eastAsia="en-US"/>
        </w:rPr>
        <w:t xml:space="preserve">a propuesta contenida en la documentación al FMI, la utilizaremos cuando se apruebe. </w:t>
      </w:r>
      <w:r w:rsidR="00BA3611" w:rsidRPr="009423EA">
        <w:rPr>
          <w:rFonts w:ascii="Calibri" w:eastAsia="Calibri" w:hAnsi="Calibri" w:cs="Times New Roman"/>
          <w:b/>
          <w:bCs/>
          <w:color w:val="000000" w:themeColor="text1"/>
          <w:sz w:val="22"/>
          <w:szCs w:val="22"/>
          <w:lang w:val="es-AR" w:eastAsia="en-US"/>
        </w:rPr>
        <w:t>Números</w:t>
      </w:r>
      <w:r w:rsidRPr="009423EA">
        <w:rPr>
          <w:rFonts w:ascii="Calibri" w:eastAsia="Calibri" w:hAnsi="Calibri" w:cs="Times New Roman"/>
          <w:b/>
          <w:bCs/>
          <w:color w:val="000000" w:themeColor="text1"/>
          <w:sz w:val="22"/>
          <w:szCs w:val="22"/>
          <w:lang w:val="es-AR" w:eastAsia="en-US"/>
        </w:rPr>
        <w:t xml:space="preserve"> todos dispares y elevados.</w:t>
      </w:r>
    </w:p>
    <w:p w14:paraId="1CADD7D2" w14:textId="24DE7734"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A partir del mes </w:t>
      </w:r>
      <w:r w:rsidR="00FA254F" w:rsidRPr="009423EA">
        <w:rPr>
          <w:rFonts w:ascii="Calibri" w:eastAsia="Calibri" w:hAnsi="Calibri" w:cs="Times New Roman"/>
          <w:bCs/>
          <w:color w:val="000000" w:themeColor="text1"/>
          <w:sz w:val="22"/>
          <w:szCs w:val="22"/>
          <w:lang w:val="es-AR" w:eastAsia="en-US"/>
        </w:rPr>
        <w:t xml:space="preserve">de </w:t>
      </w:r>
      <w:r w:rsidRPr="009423EA">
        <w:rPr>
          <w:rFonts w:ascii="Calibri" w:eastAsia="Calibri" w:hAnsi="Calibri" w:cs="Times New Roman"/>
          <w:bCs/>
          <w:color w:val="000000" w:themeColor="text1"/>
          <w:sz w:val="22"/>
          <w:szCs w:val="22"/>
          <w:lang w:val="es-AR" w:eastAsia="en-US"/>
        </w:rPr>
        <w:t xml:space="preserve">enero </w:t>
      </w:r>
      <w:r w:rsidR="00FA254F" w:rsidRPr="009423EA">
        <w:rPr>
          <w:rFonts w:ascii="Calibri" w:eastAsia="Calibri" w:hAnsi="Calibri" w:cs="Times New Roman"/>
          <w:bCs/>
          <w:color w:val="000000" w:themeColor="text1"/>
          <w:sz w:val="22"/>
          <w:szCs w:val="22"/>
          <w:lang w:val="es-AR" w:eastAsia="en-US"/>
        </w:rPr>
        <w:t xml:space="preserve">de </w:t>
      </w:r>
      <w:r w:rsidRPr="009423EA">
        <w:rPr>
          <w:rFonts w:ascii="Calibri" w:eastAsia="Calibri" w:hAnsi="Calibri" w:cs="Times New Roman"/>
          <w:bCs/>
          <w:color w:val="000000" w:themeColor="text1"/>
          <w:sz w:val="22"/>
          <w:szCs w:val="22"/>
          <w:lang w:val="es-AR" w:eastAsia="en-US"/>
        </w:rPr>
        <w:t xml:space="preserve">2022, empezamos una nueva y arbitraria especulación sobre el cierre en diciembre </w:t>
      </w:r>
      <w:r w:rsidR="00FA254F" w:rsidRPr="009423EA">
        <w:rPr>
          <w:rFonts w:ascii="Calibri" w:eastAsia="Calibri" w:hAnsi="Calibri" w:cs="Times New Roman"/>
          <w:bCs/>
          <w:color w:val="000000" w:themeColor="text1"/>
          <w:sz w:val="22"/>
          <w:szCs w:val="22"/>
          <w:lang w:val="es-AR" w:eastAsia="en-US"/>
        </w:rPr>
        <w:t xml:space="preserve">de </w:t>
      </w:r>
      <w:r w:rsidRPr="009423EA">
        <w:rPr>
          <w:rFonts w:ascii="Calibri" w:eastAsia="Calibri" w:hAnsi="Calibri" w:cs="Times New Roman"/>
          <w:bCs/>
          <w:color w:val="000000" w:themeColor="text1"/>
          <w:sz w:val="22"/>
          <w:szCs w:val="22"/>
          <w:lang w:val="es-AR" w:eastAsia="en-US"/>
        </w:rPr>
        <w:t>2022.</w:t>
      </w:r>
      <w:r w:rsidR="00021B10">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Ya contamos con la del Presupuesto 2022</w:t>
      </w:r>
      <w:r w:rsidR="00FA254F"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que alcanza el 33 %, </w:t>
      </w:r>
      <w:r w:rsidR="00FA254F" w:rsidRPr="009423EA">
        <w:rPr>
          <w:rFonts w:ascii="Calibri" w:eastAsia="Calibri" w:hAnsi="Calibri" w:cs="Times New Roman"/>
          <w:bCs/>
          <w:color w:val="000000" w:themeColor="text1"/>
          <w:sz w:val="22"/>
          <w:szCs w:val="22"/>
          <w:lang w:val="es-AR" w:eastAsia="en-US"/>
        </w:rPr>
        <w:t xml:space="preserve">y </w:t>
      </w:r>
      <w:r w:rsidRPr="009423EA">
        <w:rPr>
          <w:rFonts w:ascii="Calibri" w:eastAsia="Calibri" w:hAnsi="Calibri" w:cs="Times New Roman"/>
          <w:bCs/>
          <w:color w:val="000000" w:themeColor="text1"/>
          <w:sz w:val="22"/>
          <w:szCs w:val="22"/>
          <w:lang w:val="es-AR" w:eastAsia="en-US"/>
        </w:rPr>
        <w:t xml:space="preserve">el REM para fin de año </w:t>
      </w:r>
      <w:r w:rsidR="00FA254F" w:rsidRPr="009423EA">
        <w:rPr>
          <w:rFonts w:ascii="Calibri" w:eastAsia="Calibri" w:hAnsi="Calibri" w:cs="Times New Roman"/>
          <w:bCs/>
          <w:color w:val="000000" w:themeColor="text1"/>
          <w:sz w:val="22"/>
          <w:szCs w:val="22"/>
          <w:lang w:val="es-AR" w:eastAsia="en-US"/>
        </w:rPr>
        <w:t>llegará a</w:t>
      </w:r>
      <w:r w:rsidRPr="009423EA">
        <w:rPr>
          <w:rFonts w:ascii="Calibri" w:eastAsia="Calibri" w:hAnsi="Calibri" w:cs="Times New Roman"/>
          <w:bCs/>
          <w:color w:val="000000" w:themeColor="text1"/>
          <w:sz w:val="22"/>
          <w:szCs w:val="22"/>
          <w:lang w:val="es-AR" w:eastAsia="en-US"/>
        </w:rPr>
        <w:t>l 55 %</w:t>
      </w:r>
      <w:r w:rsidR="00FA254F" w:rsidRPr="009423EA">
        <w:rPr>
          <w:rFonts w:ascii="Calibri" w:eastAsia="Calibri" w:hAnsi="Calibri" w:cs="Times New Roman"/>
          <w:bCs/>
          <w:color w:val="000000" w:themeColor="text1"/>
          <w:sz w:val="22"/>
          <w:szCs w:val="22"/>
          <w:lang w:val="es-AR" w:eastAsia="en-US"/>
        </w:rPr>
        <w:t>. En tanto</w:t>
      </w:r>
      <w:r w:rsidRPr="009423EA">
        <w:rPr>
          <w:rFonts w:ascii="Calibri" w:eastAsia="Calibri" w:hAnsi="Calibri" w:cs="Times New Roman"/>
          <w:bCs/>
          <w:color w:val="000000" w:themeColor="text1"/>
          <w:sz w:val="22"/>
          <w:szCs w:val="22"/>
          <w:lang w:val="es-AR" w:eastAsia="en-US"/>
        </w:rPr>
        <w:t xml:space="preserve"> el promedio del </w:t>
      </w:r>
      <w:r w:rsidR="00FA254F" w:rsidRPr="009423EA">
        <w:rPr>
          <w:rFonts w:ascii="Calibri" w:eastAsia="Calibri" w:hAnsi="Calibri" w:cs="Times New Roman"/>
          <w:bCs/>
          <w:color w:val="000000" w:themeColor="text1"/>
          <w:sz w:val="22"/>
          <w:szCs w:val="22"/>
          <w:lang w:val="es-AR" w:eastAsia="en-US"/>
        </w:rPr>
        <w:t xml:space="preserve">año </w:t>
      </w:r>
      <w:r w:rsidRPr="009423EA">
        <w:rPr>
          <w:rFonts w:ascii="Calibri" w:eastAsia="Calibri" w:hAnsi="Calibri" w:cs="Times New Roman"/>
          <w:bCs/>
          <w:color w:val="000000" w:themeColor="text1"/>
          <w:sz w:val="22"/>
          <w:szCs w:val="22"/>
          <w:lang w:val="es-AR" w:eastAsia="en-US"/>
        </w:rPr>
        <w:t>2020 fue del 51 %.</w:t>
      </w:r>
    </w:p>
    <w:p w14:paraId="543D5201" w14:textId="7A633061"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No suponemos</w:t>
      </w:r>
      <w:r w:rsidR="00FA254F"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por nuestra parte</w:t>
      </w:r>
      <w:r w:rsidR="00FA254F"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que los precios de</w:t>
      </w:r>
      <w:r w:rsidR="00FA254F" w:rsidRPr="009423EA">
        <w:rPr>
          <w:rFonts w:ascii="Calibri" w:eastAsia="Calibri" w:hAnsi="Calibri" w:cs="Times New Roman"/>
          <w:bCs/>
          <w:color w:val="000000" w:themeColor="text1"/>
          <w:sz w:val="22"/>
          <w:szCs w:val="22"/>
          <w:lang w:val="es-AR" w:eastAsia="en-US"/>
        </w:rPr>
        <w:t>bería</w:t>
      </w:r>
      <w:r w:rsidRPr="009423EA">
        <w:rPr>
          <w:rFonts w:ascii="Calibri" w:eastAsia="Calibri" w:hAnsi="Calibri" w:cs="Times New Roman"/>
          <w:bCs/>
          <w:color w:val="000000" w:themeColor="text1"/>
          <w:sz w:val="22"/>
          <w:szCs w:val="22"/>
          <w:lang w:val="es-AR" w:eastAsia="en-US"/>
        </w:rPr>
        <w:t>n contenerse en los próximos meses</w:t>
      </w:r>
      <w:r w:rsidR="00FA254F"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imaginamos un</w:t>
      </w:r>
      <w:r w:rsidR="00FA254F" w:rsidRPr="009423EA">
        <w:rPr>
          <w:rFonts w:ascii="Calibri" w:eastAsia="Calibri" w:hAnsi="Calibri" w:cs="Times New Roman"/>
          <w:bCs/>
          <w:color w:val="000000" w:themeColor="text1"/>
          <w:sz w:val="22"/>
          <w:szCs w:val="22"/>
          <w:lang w:val="es-AR" w:eastAsia="en-US"/>
        </w:rPr>
        <w:t xml:space="preserve"> tipo de cambio no tan anclado. Los </w:t>
      </w:r>
      <w:r w:rsidRPr="009423EA">
        <w:rPr>
          <w:rFonts w:ascii="Calibri" w:eastAsia="Calibri" w:hAnsi="Calibri" w:cs="Times New Roman"/>
          <w:bCs/>
          <w:color w:val="000000" w:themeColor="text1"/>
          <w:sz w:val="22"/>
          <w:szCs w:val="22"/>
          <w:lang w:val="es-AR" w:eastAsia="en-US"/>
        </w:rPr>
        <w:t>servicios ya se anunciaron con aumentos y solo falta ver c</w:t>
      </w:r>
      <w:r w:rsidR="00FA254F" w:rsidRPr="009423EA">
        <w:rPr>
          <w:rFonts w:ascii="Calibri" w:eastAsia="Calibri" w:hAnsi="Calibri" w:cs="Times New Roman"/>
          <w:bCs/>
          <w:color w:val="000000" w:themeColor="text1"/>
          <w:sz w:val="22"/>
          <w:szCs w:val="22"/>
          <w:lang w:val="es-AR" w:eastAsia="en-US"/>
        </w:rPr>
        <w:t>ó</w:t>
      </w:r>
      <w:r w:rsidRPr="009423EA">
        <w:rPr>
          <w:rFonts w:ascii="Calibri" w:eastAsia="Calibri" w:hAnsi="Calibri" w:cs="Times New Roman"/>
          <w:bCs/>
          <w:color w:val="000000" w:themeColor="text1"/>
          <w:sz w:val="22"/>
          <w:szCs w:val="22"/>
          <w:lang w:val="es-AR" w:eastAsia="en-US"/>
        </w:rPr>
        <w:t xml:space="preserve">mo se </w:t>
      </w:r>
      <w:r w:rsidR="00BA3611" w:rsidRPr="009423EA">
        <w:rPr>
          <w:rFonts w:ascii="Calibri" w:eastAsia="Calibri" w:hAnsi="Calibri" w:cs="Times New Roman"/>
          <w:bCs/>
          <w:color w:val="000000" w:themeColor="text1"/>
          <w:sz w:val="22"/>
          <w:szCs w:val="22"/>
          <w:lang w:val="es-AR" w:eastAsia="en-US"/>
        </w:rPr>
        <w:t>irán</w:t>
      </w:r>
      <w:r w:rsidRPr="009423EA">
        <w:rPr>
          <w:rFonts w:ascii="Calibri" w:eastAsia="Calibri" w:hAnsi="Calibri" w:cs="Times New Roman"/>
          <w:bCs/>
          <w:color w:val="000000" w:themeColor="text1"/>
          <w:sz w:val="22"/>
          <w:szCs w:val="22"/>
          <w:lang w:val="es-AR" w:eastAsia="en-US"/>
        </w:rPr>
        <w:t xml:space="preserve"> comportando los precios, especialmente </w:t>
      </w:r>
      <w:r w:rsidR="00FA254F" w:rsidRPr="009423EA">
        <w:rPr>
          <w:rFonts w:ascii="Calibri" w:eastAsia="Calibri" w:hAnsi="Calibri" w:cs="Times New Roman"/>
          <w:bCs/>
          <w:color w:val="000000" w:themeColor="text1"/>
          <w:sz w:val="22"/>
          <w:szCs w:val="22"/>
          <w:lang w:val="es-AR" w:eastAsia="en-US"/>
        </w:rPr>
        <w:t>l</w:t>
      </w:r>
      <w:r w:rsidRPr="009423EA">
        <w:rPr>
          <w:rFonts w:ascii="Calibri" w:eastAsia="Calibri" w:hAnsi="Calibri" w:cs="Times New Roman"/>
          <w:bCs/>
          <w:color w:val="000000" w:themeColor="text1"/>
          <w:sz w:val="22"/>
          <w:szCs w:val="22"/>
          <w:lang w:val="es-AR" w:eastAsia="en-US"/>
        </w:rPr>
        <w:t xml:space="preserve">os alimentos bajo control. Lo registrado hasta el momento </w:t>
      </w:r>
      <w:r w:rsidR="00BA3611" w:rsidRPr="009423EA">
        <w:rPr>
          <w:rFonts w:ascii="Calibri" w:eastAsia="Calibri" w:hAnsi="Calibri" w:cs="Times New Roman"/>
          <w:bCs/>
          <w:color w:val="000000" w:themeColor="text1"/>
          <w:sz w:val="22"/>
          <w:szCs w:val="22"/>
          <w:lang w:val="es-AR" w:eastAsia="en-US"/>
        </w:rPr>
        <w:t>es</w:t>
      </w:r>
      <w:r w:rsidRPr="009423EA">
        <w:rPr>
          <w:rFonts w:ascii="Calibri" w:eastAsia="Calibri" w:hAnsi="Calibri" w:cs="Times New Roman"/>
          <w:bCs/>
          <w:color w:val="000000" w:themeColor="text1"/>
          <w:sz w:val="22"/>
          <w:szCs w:val="22"/>
          <w:lang w:val="es-AR" w:eastAsia="en-US"/>
        </w:rPr>
        <w:t xml:space="preserve"> </w:t>
      </w:r>
      <w:r w:rsidR="00BA3611" w:rsidRPr="009423EA">
        <w:rPr>
          <w:rFonts w:ascii="Calibri" w:eastAsia="Calibri" w:hAnsi="Calibri" w:cs="Times New Roman"/>
          <w:bCs/>
          <w:color w:val="000000" w:themeColor="text1"/>
          <w:sz w:val="22"/>
          <w:szCs w:val="22"/>
          <w:lang w:val="es-AR" w:eastAsia="en-US"/>
        </w:rPr>
        <w:t>por lo menos complejo.</w:t>
      </w:r>
    </w:p>
    <w:p w14:paraId="443A8D4F" w14:textId="4FDA7073" w:rsidR="00514A22" w:rsidRPr="009423EA" w:rsidRDefault="004B6B2D" w:rsidP="002841BD">
      <w:pPr>
        <w:spacing w:after="160" w:line="259" w:lineRule="auto"/>
        <w:jc w:val="both"/>
        <w:rPr>
          <w:rFonts w:ascii="Calibri" w:eastAsia="Calibri" w:hAnsi="Calibri" w:cs="Times New Roman"/>
          <w:bCs/>
          <w:color w:val="000000" w:themeColor="text1"/>
          <w:sz w:val="22"/>
          <w:szCs w:val="22"/>
          <w:lang w:val="es-AR" w:eastAsia="en-US"/>
        </w:rPr>
      </w:pPr>
      <w:r>
        <w:rPr>
          <w:rFonts w:ascii="Calibri" w:eastAsia="Calibri" w:hAnsi="Calibri" w:cs="Times New Roman"/>
          <w:bCs/>
          <w:noProof/>
          <w:color w:val="000000" w:themeColor="text1"/>
          <w:sz w:val="22"/>
          <w:szCs w:val="22"/>
          <w:lang w:val="es-AR" w:eastAsia="es-AR"/>
        </w:rPr>
        <w:drawing>
          <wp:inline distT="0" distB="0" distL="0" distR="0" wp14:anchorId="68026EEB" wp14:editId="15B9E7B0">
            <wp:extent cx="4957016" cy="32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7016" cy="3240000"/>
                    </a:xfrm>
                    <a:prstGeom prst="rect">
                      <a:avLst/>
                    </a:prstGeom>
                    <a:noFill/>
                  </pic:spPr>
                </pic:pic>
              </a:graphicData>
            </a:graphic>
          </wp:inline>
        </w:drawing>
      </w:r>
    </w:p>
    <w:p w14:paraId="1E84ABA6" w14:textId="4339D6BE" w:rsidR="0086039A" w:rsidRPr="009423EA" w:rsidRDefault="00607D6F" w:rsidP="00E91E95">
      <w:pPr>
        <w:spacing w:after="160" w:line="259" w:lineRule="auto"/>
        <w:jc w:val="both"/>
        <w:rPr>
          <w:rFonts w:ascii="Calibri" w:eastAsia="Calibri" w:hAnsi="Calibri" w:cs="Times New Roman"/>
          <w:b/>
          <w:bCs/>
          <w:color w:val="1F497D" w:themeColor="text2"/>
          <w:sz w:val="28"/>
          <w:szCs w:val="28"/>
          <w:lang w:val="es-AR" w:eastAsia="en-US"/>
        </w:rPr>
      </w:pPr>
      <w:r w:rsidRPr="009423EA">
        <w:rPr>
          <w:rFonts w:ascii="Calibri" w:eastAsia="Calibri" w:hAnsi="Calibri" w:cs="Times New Roman"/>
          <w:b/>
          <w:bCs/>
          <w:color w:val="1F497D" w:themeColor="text2"/>
          <w:sz w:val="28"/>
          <w:szCs w:val="28"/>
          <w:lang w:val="es-AR" w:eastAsia="en-US"/>
        </w:rPr>
        <w:t>C</w:t>
      </w:r>
      <w:r w:rsidR="0086039A" w:rsidRPr="009423EA">
        <w:rPr>
          <w:rFonts w:ascii="Calibri" w:eastAsia="Calibri" w:hAnsi="Calibri" w:cs="Times New Roman"/>
          <w:b/>
          <w:bCs/>
          <w:color w:val="1F497D" w:themeColor="text2"/>
          <w:sz w:val="28"/>
          <w:szCs w:val="28"/>
          <w:lang w:val="es-AR" w:eastAsia="en-US"/>
        </w:rPr>
        <w:t>onjeturas</w:t>
      </w:r>
      <w:r w:rsidRPr="009423EA">
        <w:rPr>
          <w:rFonts w:ascii="Calibri" w:eastAsia="Calibri" w:hAnsi="Calibri" w:cs="Times New Roman"/>
          <w:b/>
          <w:bCs/>
          <w:color w:val="1F497D" w:themeColor="text2"/>
          <w:sz w:val="28"/>
          <w:szCs w:val="28"/>
          <w:lang w:val="es-AR" w:eastAsia="en-US"/>
        </w:rPr>
        <w:t xml:space="preserve"> </w:t>
      </w:r>
      <w:r w:rsidR="00866F7C" w:rsidRPr="009423EA">
        <w:rPr>
          <w:rFonts w:ascii="Calibri" w:eastAsia="Calibri" w:hAnsi="Calibri" w:cs="Times New Roman"/>
          <w:b/>
          <w:bCs/>
          <w:color w:val="1F497D" w:themeColor="text2"/>
          <w:sz w:val="28"/>
          <w:szCs w:val="28"/>
          <w:lang w:val="es-AR" w:eastAsia="en-US"/>
        </w:rPr>
        <w:t>sobre</w:t>
      </w:r>
      <w:r w:rsidR="003F2673" w:rsidRPr="009423EA">
        <w:rPr>
          <w:rFonts w:ascii="Calibri" w:eastAsia="Calibri" w:hAnsi="Calibri" w:cs="Times New Roman"/>
          <w:b/>
          <w:bCs/>
          <w:color w:val="1F497D" w:themeColor="text2"/>
          <w:sz w:val="28"/>
          <w:szCs w:val="28"/>
          <w:lang w:val="es-AR" w:eastAsia="en-US"/>
        </w:rPr>
        <w:t xml:space="preserve"> 3 </w:t>
      </w:r>
      <w:r w:rsidRPr="009423EA">
        <w:rPr>
          <w:rFonts w:ascii="Calibri" w:eastAsia="Calibri" w:hAnsi="Calibri" w:cs="Times New Roman"/>
          <w:b/>
          <w:bCs/>
          <w:color w:val="1F497D" w:themeColor="text2"/>
          <w:sz w:val="28"/>
          <w:szCs w:val="28"/>
          <w:lang w:val="es-AR" w:eastAsia="en-US"/>
        </w:rPr>
        <w:t>tasas</w:t>
      </w:r>
      <w:r w:rsidR="003F2673" w:rsidRPr="009423EA">
        <w:rPr>
          <w:rFonts w:ascii="Calibri" w:eastAsia="Calibri" w:hAnsi="Calibri" w:cs="Times New Roman"/>
          <w:b/>
          <w:bCs/>
          <w:color w:val="1F497D" w:themeColor="text2"/>
          <w:sz w:val="28"/>
          <w:szCs w:val="28"/>
          <w:lang w:val="es-AR" w:eastAsia="en-US"/>
        </w:rPr>
        <w:t xml:space="preserve"> de crecimiento</w:t>
      </w:r>
      <w:r w:rsidR="0086039A" w:rsidRPr="009423EA">
        <w:rPr>
          <w:rFonts w:ascii="Calibri" w:eastAsia="Calibri" w:hAnsi="Calibri" w:cs="Times New Roman"/>
          <w:b/>
          <w:bCs/>
          <w:color w:val="1F497D" w:themeColor="text2"/>
          <w:sz w:val="28"/>
          <w:szCs w:val="28"/>
          <w:lang w:val="es-AR" w:eastAsia="en-US"/>
        </w:rPr>
        <w:t xml:space="preserve">: </w:t>
      </w:r>
    </w:p>
    <w:p w14:paraId="4FC0BD39" w14:textId="1C023C7D"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ES" w:eastAsia="en-US"/>
        </w:rPr>
        <w:t>Otras conjeturas sobre la base de incrementos posibles. Responde a la pregunta: A cuánto ascenderá la inflación en el 2022 con aumentos del 2.0 % o 3.0 % o  4.0 %, sobre la variación de precios observada en los meses del 2022</w:t>
      </w:r>
      <w:r w:rsidR="00FA254F" w:rsidRPr="009423EA">
        <w:rPr>
          <w:rFonts w:ascii="Calibri" w:eastAsia="Calibri" w:hAnsi="Calibri" w:cs="Times New Roman"/>
          <w:color w:val="000000" w:themeColor="text1"/>
          <w:sz w:val="22"/>
          <w:szCs w:val="22"/>
          <w:lang w:val="es-ES" w:eastAsia="en-US"/>
        </w:rPr>
        <w:t>,</w:t>
      </w:r>
      <w:r w:rsidRPr="009423EA">
        <w:rPr>
          <w:rFonts w:ascii="Calibri" w:eastAsia="Calibri" w:hAnsi="Calibri" w:cs="Times New Roman"/>
          <w:color w:val="000000" w:themeColor="text1"/>
          <w:sz w:val="22"/>
          <w:szCs w:val="22"/>
          <w:lang w:val="es-ES" w:eastAsia="en-US"/>
        </w:rPr>
        <w:t xml:space="preserve"> que se van acumulado</w:t>
      </w:r>
      <w:r w:rsidR="00FA254F" w:rsidRPr="009423EA">
        <w:rPr>
          <w:rFonts w:ascii="Calibri" w:eastAsia="Calibri" w:hAnsi="Calibri" w:cs="Times New Roman"/>
          <w:color w:val="000000" w:themeColor="text1"/>
          <w:sz w:val="22"/>
          <w:szCs w:val="22"/>
          <w:lang w:val="es-ES" w:eastAsia="en-US"/>
        </w:rPr>
        <w:t>. O</w:t>
      </w:r>
      <w:r w:rsidRPr="009423EA">
        <w:rPr>
          <w:rFonts w:ascii="Calibri" w:eastAsia="Calibri" w:hAnsi="Calibri" w:cs="Times New Roman"/>
          <w:color w:val="000000" w:themeColor="text1"/>
          <w:sz w:val="22"/>
          <w:szCs w:val="22"/>
          <w:lang w:val="es-ES" w:eastAsia="en-US"/>
        </w:rPr>
        <w:t xml:space="preserve">bviamente se inicia </w:t>
      </w:r>
      <w:r w:rsidR="00FA254F" w:rsidRPr="009423EA">
        <w:rPr>
          <w:rFonts w:ascii="Calibri" w:eastAsia="Calibri" w:hAnsi="Calibri" w:cs="Times New Roman"/>
          <w:color w:val="000000" w:themeColor="text1"/>
          <w:sz w:val="22"/>
          <w:szCs w:val="22"/>
          <w:lang w:val="es-ES" w:eastAsia="en-US"/>
        </w:rPr>
        <w:t xml:space="preserve">el año con el 4.8 % </w:t>
      </w:r>
      <w:r w:rsidRPr="009423EA">
        <w:rPr>
          <w:rFonts w:ascii="Calibri" w:eastAsia="Calibri" w:hAnsi="Calibri" w:cs="Times New Roman"/>
          <w:color w:val="000000" w:themeColor="text1"/>
          <w:sz w:val="22"/>
          <w:szCs w:val="22"/>
          <w:lang w:val="es-ES" w:eastAsia="en-US"/>
        </w:rPr>
        <w:t xml:space="preserve">en </w:t>
      </w:r>
      <w:r w:rsidRPr="009423EA">
        <w:rPr>
          <w:rFonts w:ascii="Calibri" w:eastAsia="Calibri" w:hAnsi="Calibri" w:cs="Times New Roman"/>
          <w:b/>
          <w:bCs/>
          <w:color w:val="000000" w:themeColor="text1"/>
          <w:sz w:val="22"/>
          <w:szCs w:val="22"/>
          <w:lang w:val="es-ES" w:eastAsia="en-US"/>
        </w:rPr>
        <w:t>febrero</w:t>
      </w:r>
      <w:r w:rsidRPr="009423EA">
        <w:rPr>
          <w:rFonts w:ascii="Calibri" w:eastAsia="Calibri" w:hAnsi="Calibri" w:cs="Times New Roman"/>
          <w:color w:val="000000" w:themeColor="text1"/>
          <w:sz w:val="22"/>
          <w:szCs w:val="22"/>
          <w:lang w:val="es-ES" w:eastAsia="en-US"/>
        </w:rPr>
        <w:t>.</w:t>
      </w:r>
    </w:p>
    <w:p w14:paraId="30281BA2" w14:textId="1CD73E1C"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b/>
          <w:bCs/>
          <w:color w:val="000000" w:themeColor="text1"/>
          <w:sz w:val="22"/>
          <w:szCs w:val="22"/>
          <w:lang w:val="es-ES" w:eastAsia="en-US"/>
        </w:rPr>
        <w:t>Empezaremos entonces con el 2022</w:t>
      </w:r>
      <w:r w:rsidR="00FA254F" w:rsidRPr="009423EA">
        <w:rPr>
          <w:rFonts w:ascii="Calibri" w:eastAsia="Calibri" w:hAnsi="Calibri" w:cs="Times New Roman"/>
          <w:b/>
          <w:bCs/>
          <w:color w:val="000000" w:themeColor="text1"/>
          <w:sz w:val="22"/>
          <w:szCs w:val="22"/>
          <w:lang w:val="es-ES" w:eastAsia="en-US"/>
        </w:rPr>
        <w:t>,</w:t>
      </w:r>
      <w:r w:rsidRPr="009423EA">
        <w:rPr>
          <w:rFonts w:ascii="Calibri" w:eastAsia="Calibri" w:hAnsi="Calibri" w:cs="Times New Roman"/>
          <w:b/>
          <w:bCs/>
          <w:color w:val="000000" w:themeColor="text1"/>
          <w:sz w:val="22"/>
          <w:szCs w:val="22"/>
          <w:lang w:val="es-ES" w:eastAsia="en-US"/>
        </w:rPr>
        <w:t xml:space="preserve"> a seguirlo </w:t>
      </w:r>
      <w:r w:rsidR="001D16AD" w:rsidRPr="009423EA">
        <w:rPr>
          <w:rFonts w:ascii="Calibri" w:eastAsia="Calibri" w:hAnsi="Calibri" w:cs="Times New Roman"/>
          <w:b/>
          <w:bCs/>
          <w:color w:val="000000" w:themeColor="text1"/>
          <w:sz w:val="22"/>
          <w:szCs w:val="22"/>
          <w:lang w:val="es-ES" w:eastAsia="en-US"/>
        </w:rPr>
        <w:t xml:space="preserve">mes a mes </w:t>
      </w:r>
      <w:r w:rsidRPr="009423EA">
        <w:rPr>
          <w:rFonts w:ascii="Calibri" w:eastAsia="Calibri" w:hAnsi="Calibri" w:cs="Times New Roman"/>
          <w:b/>
          <w:bCs/>
          <w:color w:val="000000" w:themeColor="text1"/>
          <w:sz w:val="22"/>
          <w:szCs w:val="22"/>
          <w:lang w:val="es-ES" w:eastAsia="en-US"/>
        </w:rPr>
        <w:t>con cuidado.</w:t>
      </w:r>
    </w:p>
    <w:p w14:paraId="0DB8ED39" w14:textId="58FE3E8A"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ES" w:eastAsia="en-US"/>
        </w:rPr>
        <w:lastRenderedPageBreak/>
        <w:t>Los valores finales para cada tasa son bastantes similares en los distintos Organismos Estadísticos que consideramos. Resulta útil para observar no solo los porcentuales de aumentos de los índices IPC sino también del dólar y salarios. Este último con un estimado para enero-febrero de 2022. Ninguna novedad por cierto ya que este tríptico lo llevamos como mochila.</w:t>
      </w:r>
    </w:p>
    <w:p w14:paraId="0A714F3E" w14:textId="77777777"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ES" w:eastAsia="en-US"/>
        </w:rPr>
        <w:t xml:space="preserve">Se expone en el gráfico el resultado de un incremento promedio del 3 % mensual, alcanzando a fin de año el 44/46 %, con el 4 % mensual alcanzamos el 60 %. </w:t>
      </w:r>
    </w:p>
    <w:p w14:paraId="37F9C575" w14:textId="77777777"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ES" w:eastAsia="en-US"/>
        </w:rPr>
        <w:t>Los salarios se van ajustando en paridad con los precios. El panorama que supone el ministro Guzmán es de recuperación y algo se está logrando por lo menos al cierre de 2021. Otro cantar será el 2022.</w:t>
      </w:r>
    </w:p>
    <w:p w14:paraId="48A47206" w14:textId="3F9610AA"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ES" w:eastAsia="en-US"/>
        </w:rPr>
        <w:t xml:space="preserve">El dólar (promedio mensual del mes) proyectado queda debajo de los niveles de valores IPC y está por verse el  camino que transitará el BCRA de ahora en más. Recordemos que estamos siempre considerando el dólar oficial mayorista para operaciones de exportaciones e importaciones. Pero se puede observar que el BCRA levanta la mira respecto </w:t>
      </w:r>
      <w:r w:rsidR="00150772" w:rsidRPr="009423EA">
        <w:rPr>
          <w:rFonts w:ascii="Calibri" w:eastAsia="Calibri" w:hAnsi="Calibri" w:cs="Times New Roman"/>
          <w:color w:val="000000" w:themeColor="text1"/>
          <w:sz w:val="22"/>
          <w:szCs w:val="22"/>
          <w:lang w:val="es-ES" w:eastAsia="en-US"/>
        </w:rPr>
        <w:t xml:space="preserve">de </w:t>
      </w:r>
      <w:r w:rsidRPr="009423EA">
        <w:rPr>
          <w:rFonts w:ascii="Calibri" w:eastAsia="Calibri" w:hAnsi="Calibri" w:cs="Times New Roman"/>
          <w:color w:val="000000" w:themeColor="text1"/>
          <w:sz w:val="22"/>
          <w:szCs w:val="22"/>
          <w:lang w:val="es-ES" w:eastAsia="en-US"/>
        </w:rPr>
        <w:t xml:space="preserve">los </w:t>
      </w:r>
      <w:r w:rsidR="00BA3611" w:rsidRPr="009423EA">
        <w:rPr>
          <w:rFonts w:ascii="Calibri" w:eastAsia="Calibri" w:hAnsi="Calibri" w:cs="Times New Roman"/>
          <w:color w:val="000000" w:themeColor="text1"/>
          <w:sz w:val="22"/>
          <w:szCs w:val="22"/>
          <w:lang w:val="es-ES" w:eastAsia="en-US"/>
        </w:rPr>
        <w:t>últimos</w:t>
      </w:r>
      <w:r w:rsidRPr="009423EA">
        <w:rPr>
          <w:rFonts w:ascii="Calibri" w:eastAsia="Calibri" w:hAnsi="Calibri" w:cs="Times New Roman"/>
          <w:color w:val="000000" w:themeColor="text1"/>
          <w:sz w:val="22"/>
          <w:szCs w:val="22"/>
          <w:lang w:val="es-ES" w:eastAsia="en-US"/>
        </w:rPr>
        <w:t xml:space="preserve"> meses.</w:t>
      </w:r>
      <w:r w:rsidR="006A69EB" w:rsidRPr="009423EA">
        <w:rPr>
          <w:rFonts w:ascii="Calibri" w:eastAsia="Calibri" w:hAnsi="Calibri" w:cs="Times New Roman"/>
          <w:color w:val="000000" w:themeColor="text1"/>
          <w:sz w:val="22"/>
          <w:szCs w:val="22"/>
          <w:lang w:val="es-AR" w:eastAsia="en-US"/>
        </w:rPr>
        <w:t xml:space="preserve"> </w:t>
      </w:r>
      <w:r w:rsidRPr="009423EA">
        <w:rPr>
          <w:rFonts w:ascii="Calibri" w:eastAsia="Calibri" w:hAnsi="Calibri" w:cs="Times New Roman"/>
          <w:color w:val="000000" w:themeColor="text1"/>
          <w:sz w:val="22"/>
          <w:szCs w:val="22"/>
          <w:lang w:val="es-ES" w:eastAsia="en-US"/>
        </w:rPr>
        <w:t xml:space="preserve">Pero esperamos </w:t>
      </w:r>
      <w:r w:rsidR="00150772" w:rsidRPr="009423EA">
        <w:rPr>
          <w:rFonts w:ascii="Calibri" w:eastAsia="Calibri" w:hAnsi="Calibri" w:cs="Times New Roman"/>
          <w:color w:val="000000" w:themeColor="text1"/>
          <w:sz w:val="22"/>
          <w:szCs w:val="22"/>
          <w:lang w:val="es-ES" w:eastAsia="en-US"/>
        </w:rPr>
        <w:t xml:space="preserve">no observar una variación </w:t>
      </w:r>
      <w:r w:rsidRPr="009423EA">
        <w:rPr>
          <w:rFonts w:ascii="Calibri" w:eastAsia="Calibri" w:hAnsi="Calibri" w:cs="Times New Roman"/>
          <w:color w:val="000000" w:themeColor="text1"/>
          <w:sz w:val="22"/>
          <w:szCs w:val="22"/>
          <w:lang w:val="es-ES" w:eastAsia="en-US"/>
        </w:rPr>
        <w:t>del 4 % mensual.</w:t>
      </w:r>
    </w:p>
    <w:p w14:paraId="26A80017" w14:textId="6B925702" w:rsidR="006424F3" w:rsidRPr="009423EA" w:rsidRDefault="004B6B2D" w:rsidP="00E91E95">
      <w:pPr>
        <w:spacing w:after="160" w:line="259" w:lineRule="auto"/>
        <w:jc w:val="both"/>
        <w:rPr>
          <w:rFonts w:ascii="Calibri" w:eastAsia="Calibri" w:hAnsi="Calibri" w:cs="Times New Roman"/>
          <w:color w:val="000000" w:themeColor="text1"/>
          <w:sz w:val="22"/>
          <w:szCs w:val="22"/>
          <w:lang w:val="es-ES" w:eastAsia="en-US"/>
        </w:rPr>
      </w:pPr>
      <w:r>
        <w:rPr>
          <w:rFonts w:ascii="Calibri" w:eastAsia="Calibri" w:hAnsi="Calibri" w:cs="Times New Roman"/>
          <w:noProof/>
          <w:color w:val="000000" w:themeColor="text1"/>
          <w:sz w:val="22"/>
          <w:szCs w:val="22"/>
          <w:lang w:val="es-AR" w:eastAsia="es-AR"/>
        </w:rPr>
        <w:drawing>
          <wp:inline distT="0" distB="0" distL="0" distR="0" wp14:anchorId="6EEF3FAA" wp14:editId="5D502954">
            <wp:extent cx="4464000" cy="32406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4000" cy="3240678"/>
                    </a:xfrm>
                    <a:prstGeom prst="rect">
                      <a:avLst/>
                    </a:prstGeom>
                    <a:noFill/>
                  </pic:spPr>
                </pic:pic>
              </a:graphicData>
            </a:graphic>
          </wp:inline>
        </w:drawing>
      </w:r>
    </w:p>
    <w:p w14:paraId="005DA91D" w14:textId="194B9B97" w:rsidR="0086039A" w:rsidRPr="009423EA" w:rsidRDefault="0086039A" w:rsidP="00E91E95">
      <w:pPr>
        <w:spacing w:after="160" w:line="259" w:lineRule="auto"/>
        <w:jc w:val="both"/>
        <w:rPr>
          <w:rFonts w:ascii="Calibri" w:eastAsia="Calibri" w:hAnsi="Calibri" w:cs="Times New Roman"/>
          <w:b/>
          <w:color w:val="1F497D" w:themeColor="text2"/>
          <w:sz w:val="28"/>
          <w:szCs w:val="28"/>
          <w:lang w:val="es-ES" w:eastAsia="en-US"/>
        </w:rPr>
      </w:pPr>
      <w:r w:rsidRPr="009423EA">
        <w:rPr>
          <w:rFonts w:ascii="Calibri" w:eastAsia="Calibri" w:hAnsi="Calibri" w:cs="Times New Roman"/>
          <w:b/>
          <w:color w:val="1F497D" w:themeColor="text2"/>
          <w:sz w:val="28"/>
          <w:szCs w:val="28"/>
          <w:lang w:val="es-ES" w:eastAsia="en-US"/>
        </w:rPr>
        <w:t xml:space="preserve">Dos indicadores pesados y para pensar: Índice Nivel General (NG) y Capítulo de </w:t>
      </w:r>
      <w:r w:rsidR="003639E1" w:rsidRPr="009423EA">
        <w:rPr>
          <w:rFonts w:ascii="Calibri" w:eastAsia="Calibri" w:hAnsi="Calibri" w:cs="Times New Roman"/>
          <w:b/>
          <w:color w:val="1F497D" w:themeColor="text2"/>
          <w:sz w:val="28"/>
          <w:szCs w:val="28"/>
          <w:lang w:val="es-ES" w:eastAsia="en-US"/>
        </w:rPr>
        <w:t>Alimentos y Bebidas y Agregados:</w:t>
      </w:r>
    </w:p>
    <w:p w14:paraId="3944D994" w14:textId="1C828B2D" w:rsidR="00025925" w:rsidRPr="009423EA" w:rsidRDefault="0086039A" w:rsidP="00025925">
      <w:pPr>
        <w:spacing w:after="160" w:line="259" w:lineRule="auto"/>
        <w:jc w:val="both"/>
        <w:rPr>
          <w:rFonts w:ascii="Calibri" w:eastAsia="Calibri" w:hAnsi="Calibri" w:cs="Times New Roman"/>
          <w:b/>
          <w:bCs/>
          <w:color w:val="1F497D" w:themeColor="text2"/>
          <w:sz w:val="28"/>
          <w:szCs w:val="28"/>
          <w:lang w:val="es-ES" w:eastAsia="en-US"/>
        </w:rPr>
      </w:pPr>
      <w:r w:rsidRPr="009423EA">
        <w:rPr>
          <w:rFonts w:ascii="Calibri" w:eastAsia="Calibri" w:hAnsi="Calibri" w:cs="Times New Roman"/>
          <w:b/>
          <w:bCs/>
          <w:color w:val="1F497D" w:themeColor="text2"/>
          <w:sz w:val="28"/>
          <w:szCs w:val="28"/>
          <w:lang w:val="es-ES" w:eastAsia="en-US"/>
        </w:rPr>
        <w:t xml:space="preserve">Nivel General: </w:t>
      </w:r>
      <w:r w:rsidR="00025925" w:rsidRPr="009423EA">
        <w:rPr>
          <w:rFonts w:ascii="Calibri" w:eastAsia="Calibri" w:hAnsi="Calibri" w:cs="Times New Roman"/>
          <w:b/>
          <w:bCs/>
          <w:color w:val="000000" w:themeColor="text1"/>
          <w:sz w:val="22"/>
          <w:szCs w:val="22"/>
          <w:lang w:val="es-ES" w:eastAsia="en-US"/>
        </w:rPr>
        <w:t xml:space="preserve"> </w:t>
      </w:r>
    </w:p>
    <w:p w14:paraId="372290A0" w14:textId="70F25D69"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¿Qué pasa con los precios en el CAPÍTULO NIVEL GENERAL (NG)? Específicamente nos referimos al Nive</w:t>
      </w:r>
      <w:r w:rsidR="00150772" w:rsidRPr="009423EA">
        <w:rPr>
          <w:rFonts w:ascii="Calibri" w:eastAsia="Calibri" w:hAnsi="Calibri" w:cs="Times New Roman"/>
          <w:bCs/>
          <w:color w:val="000000" w:themeColor="text1"/>
          <w:sz w:val="22"/>
          <w:szCs w:val="22"/>
          <w:lang w:val="es-ES" w:eastAsia="en-US"/>
        </w:rPr>
        <w:t xml:space="preserve">l General, acumulando 12 meses: </w:t>
      </w:r>
      <w:r w:rsidRPr="009423EA">
        <w:rPr>
          <w:rFonts w:ascii="Calibri" w:eastAsia="Calibri" w:hAnsi="Calibri" w:cs="Times New Roman"/>
          <w:bCs/>
          <w:color w:val="000000" w:themeColor="text1"/>
          <w:sz w:val="22"/>
          <w:szCs w:val="22"/>
          <w:lang w:val="es-ES" w:eastAsia="en-US"/>
        </w:rPr>
        <w:t>Observar especialmente 2017 y 2021, fueron</w:t>
      </w:r>
      <w:r w:rsidR="00150772" w:rsidRPr="009423EA">
        <w:rPr>
          <w:rFonts w:ascii="Calibri" w:eastAsia="Calibri" w:hAnsi="Calibri" w:cs="Times New Roman"/>
          <w:bCs/>
          <w:color w:val="000000" w:themeColor="text1"/>
          <w:sz w:val="22"/>
          <w:szCs w:val="22"/>
          <w:lang w:val="es-ES" w:eastAsia="en-US"/>
        </w:rPr>
        <w:t xml:space="preserve"> los</w:t>
      </w:r>
      <w:r w:rsidRPr="009423EA">
        <w:rPr>
          <w:rFonts w:ascii="Calibri" w:eastAsia="Calibri" w:hAnsi="Calibri" w:cs="Times New Roman"/>
          <w:bCs/>
          <w:color w:val="000000" w:themeColor="text1"/>
          <w:sz w:val="22"/>
          <w:szCs w:val="22"/>
          <w:lang w:val="es-ES" w:eastAsia="en-US"/>
        </w:rPr>
        <w:t xml:space="preserve"> únicos años donde los salarios superan a los IPC y al dólar. Este último se mantuvo fuertemente apreciado (el peso) y alcanzó una variación de solo CASI LA MITAD  % de la inflación en ambos años, o sea muy por debajo del promedio de precios. Historia ya muy conocida y repetida. Como dice el conocido refrán: </w:t>
      </w:r>
      <w:r w:rsidRPr="009423EA">
        <w:rPr>
          <w:rFonts w:ascii="Calibri" w:eastAsia="Calibri" w:hAnsi="Calibri" w:cs="Times New Roman"/>
          <w:b/>
          <w:bCs/>
          <w:color w:val="000000" w:themeColor="text1"/>
          <w:sz w:val="22"/>
          <w:szCs w:val="22"/>
          <w:lang w:val="es-AR" w:eastAsia="en-US"/>
        </w:rPr>
        <w:t xml:space="preserve">EL HOMBRE (en la </w:t>
      </w:r>
      <w:r w:rsidR="00150772" w:rsidRPr="009423EA">
        <w:rPr>
          <w:rFonts w:ascii="Calibri" w:eastAsia="Calibri" w:hAnsi="Calibri" w:cs="Times New Roman"/>
          <w:b/>
          <w:bCs/>
          <w:color w:val="000000" w:themeColor="text1"/>
          <w:sz w:val="22"/>
          <w:szCs w:val="22"/>
          <w:lang w:val="es-AR" w:eastAsia="en-US"/>
        </w:rPr>
        <w:t>A</w:t>
      </w:r>
      <w:r w:rsidRPr="009423EA">
        <w:rPr>
          <w:rFonts w:ascii="Calibri" w:eastAsia="Calibri" w:hAnsi="Calibri" w:cs="Times New Roman"/>
          <w:b/>
          <w:bCs/>
          <w:color w:val="000000" w:themeColor="text1"/>
          <w:sz w:val="22"/>
          <w:szCs w:val="22"/>
          <w:lang w:val="es-AR" w:eastAsia="en-US"/>
        </w:rPr>
        <w:t xml:space="preserve">rgentina) ES EL ÚNICO ANIMAL QUE TROPIEZA DOS VECES </w:t>
      </w:r>
      <w:r w:rsidR="00150772" w:rsidRPr="009423EA">
        <w:rPr>
          <w:rFonts w:ascii="Calibri" w:eastAsia="Calibri" w:hAnsi="Calibri" w:cs="Times New Roman"/>
          <w:b/>
          <w:bCs/>
          <w:color w:val="000000" w:themeColor="text1"/>
          <w:sz w:val="22"/>
          <w:szCs w:val="22"/>
          <w:lang w:val="es-AR" w:eastAsia="en-US"/>
        </w:rPr>
        <w:t>CON</w:t>
      </w:r>
      <w:r w:rsidRPr="009423EA">
        <w:rPr>
          <w:rFonts w:ascii="Calibri" w:eastAsia="Calibri" w:hAnsi="Calibri" w:cs="Times New Roman"/>
          <w:b/>
          <w:bCs/>
          <w:color w:val="000000" w:themeColor="text1"/>
          <w:sz w:val="22"/>
          <w:szCs w:val="22"/>
          <w:lang w:val="es-AR" w:eastAsia="en-US"/>
        </w:rPr>
        <w:t xml:space="preserve"> LA MISMA </w:t>
      </w:r>
      <w:r w:rsidR="00150772" w:rsidRPr="009423EA">
        <w:rPr>
          <w:rFonts w:ascii="Calibri" w:eastAsia="Calibri" w:hAnsi="Calibri" w:cs="Times New Roman"/>
          <w:b/>
          <w:bCs/>
          <w:color w:val="000000" w:themeColor="text1"/>
          <w:sz w:val="22"/>
          <w:szCs w:val="22"/>
          <w:lang w:val="es-AR" w:eastAsia="en-US"/>
        </w:rPr>
        <w:t>INFLACIÓN</w:t>
      </w:r>
      <w:r w:rsidRPr="009423EA">
        <w:rPr>
          <w:rFonts w:ascii="Calibri" w:eastAsia="Calibri" w:hAnsi="Calibri" w:cs="Times New Roman"/>
          <w:b/>
          <w:bCs/>
          <w:color w:val="000000" w:themeColor="text1"/>
          <w:sz w:val="22"/>
          <w:szCs w:val="22"/>
          <w:lang w:val="es-AR" w:eastAsia="en-US"/>
        </w:rPr>
        <w:t xml:space="preserve"> ELEVADA.</w:t>
      </w:r>
    </w:p>
    <w:p w14:paraId="44130F22" w14:textId="0E17B97D"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La Tasa Política Monetaria alcanza el 40.5 %, aumenta en el mes</w:t>
      </w:r>
      <w:r w:rsidR="00150772"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pero es menor respecto de los años 2018  y 2019, y se mantiene DEBAJO de las variaciones de los precios desde hace como tres años</w:t>
      </w:r>
      <w:r w:rsidR="00150772" w:rsidRPr="009423EA">
        <w:rPr>
          <w:rFonts w:ascii="Calibri" w:eastAsia="Calibri" w:hAnsi="Calibri" w:cs="Times New Roman"/>
          <w:bCs/>
          <w:color w:val="000000" w:themeColor="text1"/>
          <w:sz w:val="22"/>
          <w:szCs w:val="22"/>
          <w:lang w:val="es-ES" w:eastAsia="en-US"/>
        </w:rPr>
        <w:t>. L</w:t>
      </w:r>
      <w:r w:rsidRPr="009423EA">
        <w:rPr>
          <w:rFonts w:ascii="Calibri" w:eastAsia="Calibri" w:hAnsi="Calibri" w:cs="Times New Roman"/>
          <w:bCs/>
          <w:color w:val="000000" w:themeColor="text1"/>
          <w:sz w:val="22"/>
          <w:szCs w:val="22"/>
          <w:lang w:val="es-ES" w:eastAsia="en-US"/>
        </w:rPr>
        <w:t xml:space="preserve">argo tiempo. El dólar, con un piso del 19.9 % (incremento a/a), queda atrasado con respecto al 2019 y 2018 (los aumentos </w:t>
      </w:r>
      <w:r w:rsidRPr="009423EA">
        <w:rPr>
          <w:rFonts w:ascii="Calibri" w:eastAsia="Calibri" w:hAnsi="Calibri" w:cs="Times New Roman"/>
          <w:bCs/>
          <w:color w:val="000000" w:themeColor="text1"/>
          <w:sz w:val="22"/>
          <w:szCs w:val="22"/>
          <w:lang w:val="es-ES" w:eastAsia="en-US"/>
        </w:rPr>
        <w:lastRenderedPageBreak/>
        <w:t>más elevados en los años recientes). Está por debajo de la inflación en términos interanuales, por ahora, suponemos que esto se mantendrá.</w:t>
      </w:r>
    </w:p>
    <w:p w14:paraId="2A38705B" w14:textId="3F33B8B7"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Los índices de precios del NG logran entre el 49/52 %, con Indec, San Luis</w:t>
      </w:r>
      <w:r w:rsidR="00BA3611" w:rsidRPr="009423EA">
        <w:rPr>
          <w:rFonts w:ascii="Calibri" w:eastAsia="Calibri" w:hAnsi="Calibri" w:cs="Times New Roman"/>
          <w:bCs/>
          <w:color w:val="000000" w:themeColor="text1"/>
          <w:sz w:val="22"/>
          <w:szCs w:val="22"/>
          <w:lang w:val="es-ES" w:eastAsia="en-US"/>
        </w:rPr>
        <w:t xml:space="preserve"> </w:t>
      </w:r>
      <w:r w:rsidRPr="009423EA">
        <w:rPr>
          <w:rFonts w:ascii="Calibri" w:eastAsia="Calibri" w:hAnsi="Calibri" w:cs="Times New Roman"/>
          <w:bCs/>
          <w:color w:val="000000" w:themeColor="text1"/>
          <w:sz w:val="22"/>
          <w:szCs w:val="22"/>
          <w:lang w:val="es-ES" w:eastAsia="en-US"/>
        </w:rPr>
        <w:t>y Santa Fe más elevados. El promedio de varios IPC es de alrededor del 51 %. Por lo visto los tres indicadores, el dólar, la tasa de política monetaria y el IPC promedian el año con valores divergentes. Ver el cuadro.</w:t>
      </w:r>
    </w:p>
    <w:p w14:paraId="523B2734" w14:textId="3E42292F"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Demás está decir que el acumulado del 2021 resulta crucial para otear </w:t>
      </w:r>
      <w:r w:rsidR="00150772" w:rsidRPr="009423EA">
        <w:rPr>
          <w:rFonts w:ascii="Calibri" w:eastAsia="Calibri" w:hAnsi="Calibri" w:cs="Times New Roman"/>
          <w:bCs/>
          <w:color w:val="000000" w:themeColor="text1"/>
          <w:sz w:val="22"/>
          <w:szCs w:val="22"/>
          <w:lang w:val="es-ES" w:eastAsia="en-US"/>
        </w:rPr>
        <w:t xml:space="preserve">el </w:t>
      </w:r>
      <w:r w:rsidRPr="009423EA">
        <w:rPr>
          <w:rFonts w:ascii="Calibri" w:eastAsia="Calibri" w:hAnsi="Calibri" w:cs="Times New Roman"/>
          <w:bCs/>
          <w:color w:val="000000" w:themeColor="text1"/>
          <w:sz w:val="22"/>
          <w:szCs w:val="22"/>
          <w:lang w:val="es-ES" w:eastAsia="en-US"/>
        </w:rPr>
        <w:t xml:space="preserve">2022. </w:t>
      </w:r>
    </w:p>
    <w:p w14:paraId="425BCF0E" w14:textId="0B32CEB6"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El Presupuesto presentado conjeturaba una inflación del 33 % a diciembre de</w:t>
      </w:r>
      <w:r w:rsidR="00150772" w:rsidRPr="009423EA">
        <w:rPr>
          <w:rFonts w:ascii="Calibri" w:eastAsia="Calibri" w:hAnsi="Calibri" w:cs="Times New Roman"/>
          <w:bCs/>
          <w:color w:val="000000" w:themeColor="text1"/>
          <w:sz w:val="22"/>
          <w:szCs w:val="22"/>
          <w:lang w:val="es-ES" w:eastAsia="en-US"/>
        </w:rPr>
        <w:t>l</w:t>
      </w:r>
      <w:r w:rsidRPr="009423EA">
        <w:rPr>
          <w:rFonts w:ascii="Calibri" w:eastAsia="Calibri" w:hAnsi="Calibri" w:cs="Times New Roman"/>
          <w:bCs/>
          <w:color w:val="000000" w:themeColor="text1"/>
          <w:sz w:val="22"/>
          <w:szCs w:val="22"/>
          <w:lang w:val="es-ES" w:eastAsia="en-US"/>
        </w:rPr>
        <w:t xml:space="preserve"> 2022 y es un valor que ya </w:t>
      </w:r>
      <w:r w:rsidR="00BA3611" w:rsidRPr="009423EA">
        <w:rPr>
          <w:rFonts w:ascii="Calibri" w:eastAsia="Calibri" w:hAnsi="Calibri" w:cs="Times New Roman"/>
          <w:bCs/>
          <w:color w:val="000000" w:themeColor="text1"/>
          <w:sz w:val="22"/>
          <w:szCs w:val="22"/>
          <w:lang w:val="es-ES" w:eastAsia="en-US"/>
        </w:rPr>
        <w:t>recibió</w:t>
      </w:r>
      <w:r w:rsidRPr="009423EA">
        <w:rPr>
          <w:rFonts w:ascii="Calibri" w:eastAsia="Calibri" w:hAnsi="Calibri" w:cs="Times New Roman"/>
          <w:bCs/>
          <w:color w:val="000000" w:themeColor="text1"/>
          <w:sz w:val="22"/>
          <w:szCs w:val="22"/>
          <w:lang w:val="es-ES" w:eastAsia="en-US"/>
        </w:rPr>
        <w:t xml:space="preserve"> un primer golpe e incluso en lo elevado al FMI se alcanza al 38 % - 48 % y es posible que sea superado.</w:t>
      </w:r>
    </w:p>
    <w:p w14:paraId="57232BC5" w14:textId="77777777"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El índice de Salarios del Indec contempla registrados y no registrados, pero entre los registrados se observa gran dispersión, convenios que pudieron mantener los salarios reales y otros absolutamente no, aun cuando los programas de ayuda achataron diferencias. Se puede decir que los salarios disminuyeron la pérdida con respecto a la inflación al cerrar el año 2020 y en forma similar en el 2021. Ahora veremos que ocurre en el 2022.</w:t>
      </w:r>
    </w:p>
    <w:p w14:paraId="7B52FCAE" w14:textId="5E0FCC3C"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Hoy la situación económica del País está en un proceso de recuperación en la actividad con fluctuaciones, pero también muestra que la inflación en Argentina da pelea a todas las situaciones, hasta con </w:t>
      </w:r>
      <w:r w:rsidR="00BA3611" w:rsidRPr="009423EA">
        <w:rPr>
          <w:rFonts w:ascii="Calibri" w:eastAsia="Calibri" w:hAnsi="Calibri" w:cs="Times New Roman"/>
          <w:bCs/>
          <w:color w:val="000000" w:themeColor="text1"/>
          <w:sz w:val="22"/>
          <w:szCs w:val="22"/>
          <w:lang w:val="es-ES" w:eastAsia="en-US"/>
        </w:rPr>
        <w:t>más</w:t>
      </w:r>
      <w:r w:rsidRPr="009423EA">
        <w:rPr>
          <w:rFonts w:ascii="Calibri" w:eastAsia="Calibri" w:hAnsi="Calibri" w:cs="Times New Roman"/>
          <w:bCs/>
          <w:color w:val="000000" w:themeColor="text1"/>
          <w:sz w:val="22"/>
          <w:szCs w:val="22"/>
          <w:lang w:val="es-ES" w:eastAsia="en-US"/>
        </w:rPr>
        <w:t xml:space="preserve"> fuerza tanto por elementos internos como la invasión de Putin.</w:t>
      </w:r>
    </w:p>
    <w:p w14:paraId="47FDE980" w14:textId="7F3A0B85" w:rsidR="00FD1953" w:rsidRPr="009423EA" w:rsidRDefault="004B6B2D" w:rsidP="00DD74AF">
      <w:pPr>
        <w:spacing w:after="160" w:line="259" w:lineRule="auto"/>
        <w:jc w:val="both"/>
        <w:rPr>
          <w:rFonts w:ascii="Calibri" w:eastAsia="Calibri" w:hAnsi="Calibri" w:cs="Times New Roman"/>
          <w:bCs/>
          <w:color w:val="000000" w:themeColor="text1"/>
          <w:sz w:val="22"/>
          <w:szCs w:val="22"/>
          <w:lang w:val="es-ES" w:eastAsia="en-US"/>
        </w:rPr>
      </w:pPr>
      <w:r>
        <w:rPr>
          <w:rFonts w:ascii="Calibri" w:eastAsia="Calibri" w:hAnsi="Calibri" w:cs="Times New Roman"/>
          <w:bCs/>
          <w:noProof/>
          <w:color w:val="000000" w:themeColor="text1"/>
          <w:sz w:val="22"/>
          <w:szCs w:val="22"/>
          <w:lang w:val="es-AR" w:eastAsia="es-AR"/>
        </w:rPr>
        <w:drawing>
          <wp:inline distT="0" distB="0" distL="0" distR="0" wp14:anchorId="45DC56D2" wp14:editId="616001E0">
            <wp:extent cx="4463066" cy="324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3066" cy="3240000"/>
                    </a:xfrm>
                    <a:prstGeom prst="rect">
                      <a:avLst/>
                    </a:prstGeom>
                    <a:noFill/>
                  </pic:spPr>
                </pic:pic>
              </a:graphicData>
            </a:graphic>
          </wp:inline>
        </w:drawing>
      </w:r>
    </w:p>
    <w:p w14:paraId="3040F5D6" w14:textId="3E991579" w:rsidR="0086039A" w:rsidRPr="009423EA" w:rsidRDefault="0086039A" w:rsidP="00E91E95">
      <w:pPr>
        <w:spacing w:after="160" w:line="259" w:lineRule="auto"/>
        <w:jc w:val="both"/>
        <w:rPr>
          <w:rFonts w:ascii="Calibri" w:eastAsia="Calibri" w:hAnsi="Calibri" w:cs="Times New Roman"/>
          <w:b/>
          <w:bCs/>
          <w:color w:val="1F497D" w:themeColor="text2"/>
          <w:sz w:val="28"/>
          <w:szCs w:val="28"/>
          <w:lang w:val="es-AR" w:eastAsia="en-US"/>
        </w:rPr>
      </w:pPr>
      <w:r w:rsidRPr="009423EA">
        <w:rPr>
          <w:rFonts w:ascii="Calibri" w:eastAsia="Calibri" w:hAnsi="Calibri" w:cs="Times New Roman"/>
          <w:b/>
          <w:bCs/>
          <w:color w:val="1F497D" w:themeColor="text2"/>
          <w:sz w:val="28"/>
          <w:szCs w:val="28"/>
          <w:lang w:val="es-AR" w:eastAsia="en-US"/>
        </w:rPr>
        <w:t>Alimentos y Bebidas:</w:t>
      </w:r>
    </w:p>
    <w:p w14:paraId="5813F322" w14:textId="129E7872"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Acumulando 12 meses en Alimentos y Bebidas en el 2022 (febrero 2022 / febrero 2021) y para los</w:t>
      </w:r>
      <w:r w:rsidR="00150772"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anteriores años calendario completos. Con una variación del dólar en 12 meses del  19.9 %.</w:t>
      </w:r>
    </w:p>
    <w:p w14:paraId="4E0B0B21" w14:textId="46BB2C70"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Los porcentuales de los </w:t>
      </w:r>
      <w:r w:rsidR="00042665" w:rsidRPr="009423EA">
        <w:rPr>
          <w:rFonts w:ascii="Calibri" w:eastAsia="Calibri" w:hAnsi="Calibri" w:cs="Times New Roman"/>
          <w:bCs/>
          <w:color w:val="000000" w:themeColor="text1"/>
          <w:sz w:val="22"/>
          <w:szCs w:val="22"/>
          <w:lang w:val="es-AR" w:eastAsia="en-US"/>
        </w:rPr>
        <w:t>o</w:t>
      </w:r>
      <w:r w:rsidRPr="009423EA">
        <w:rPr>
          <w:rFonts w:ascii="Calibri" w:eastAsia="Calibri" w:hAnsi="Calibri" w:cs="Times New Roman"/>
          <w:bCs/>
          <w:color w:val="000000" w:themeColor="text1"/>
          <w:sz w:val="22"/>
          <w:szCs w:val="22"/>
          <w:lang w:val="es-AR" w:eastAsia="en-US"/>
        </w:rPr>
        <w:t>rganismos de Estadística presentan alguna diversidad pequeña en el Capítulo Alimentos, entre el 54/60 % para el año, superando el Nivel General, pero todos con valores elevados. Los porcentuales del cierre están por encima de la mayoría de los años anteriores, excepto 2019</w:t>
      </w:r>
      <w:r w:rsidR="00150772"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pero no en todos los casos. </w:t>
      </w:r>
      <w:r w:rsidR="00F045F5"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Se aclara que en el caso del Indec y Ciudad de Buenos </w:t>
      </w:r>
      <w:r w:rsidR="00976208" w:rsidRPr="009423EA">
        <w:rPr>
          <w:rFonts w:ascii="Calibri" w:eastAsia="Calibri" w:hAnsi="Calibri" w:cs="Times New Roman"/>
          <w:bCs/>
          <w:color w:val="000000" w:themeColor="text1"/>
          <w:sz w:val="22"/>
          <w:szCs w:val="22"/>
          <w:lang w:val="es-AR" w:eastAsia="en-US"/>
        </w:rPr>
        <w:t xml:space="preserve">se incorpora </w:t>
      </w:r>
      <w:r w:rsidRPr="009423EA">
        <w:rPr>
          <w:rFonts w:ascii="Calibri" w:eastAsia="Calibri" w:hAnsi="Calibri" w:cs="Times New Roman"/>
          <w:bCs/>
          <w:color w:val="000000" w:themeColor="text1"/>
          <w:sz w:val="22"/>
          <w:szCs w:val="22"/>
          <w:lang w:val="es-AR" w:eastAsia="en-US"/>
        </w:rPr>
        <w:t xml:space="preserve">a Alimentos </w:t>
      </w:r>
      <w:r w:rsidR="00976208" w:rsidRPr="009423EA">
        <w:rPr>
          <w:rFonts w:ascii="Calibri" w:eastAsia="Calibri" w:hAnsi="Calibri" w:cs="Times New Roman"/>
          <w:bCs/>
          <w:color w:val="000000" w:themeColor="text1"/>
          <w:sz w:val="22"/>
          <w:szCs w:val="22"/>
          <w:lang w:val="es-AR" w:eastAsia="en-US"/>
        </w:rPr>
        <w:t xml:space="preserve">el ítem </w:t>
      </w:r>
      <w:r w:rsidRPr="009423EA">
        <w:rPr>
          <w:rFonts w:ascii="Calibri" w:eastAsia="Calibri" w:hAnsi="Calibri" w:cs="Times New Roman"/>
          <w:bCs/>
          <w:color w:val="000000" w:themeColor="text1"/>
          <w:sz w:val="22"/>
          <w:szCs w:val="22"/>
          <w:lang w:val="es-AR" w:eastAsia="en-US"/>
        </w:rPr>
        <w:t xml:space="preserve">Bebidas </w:t>
      </w:r>
      <w:r w:rsidR="00BA3611" w:rsidRPr="009423EA">
        <w:rPr>
          <w:rFonts w:ascii="Calibri" w:eastAsia="Calibri" w:hAnsi="Calibri" w:cs="Times New Roman"/>
          <w:bCs/>
          <w:color w:val="000000" w:themeColor="text1"/>
          <w:sz w:val="22"/>
          <w:szCs w:val="22"/>
          <w:lang w:val="es-AR" w:eastAsia="en-US"/>
        </w:rPr>
        <w:t>Alcohólicas</w:t>
      </w:r>
      <w:r w:rsidRPr="009423EA">
        <w:rPr>
          <w:rFonts w:ascii="Calibri" w:eastAsia="Calibri" w:hAnsi="Calibri" w:cs="Times New Roman"/>
          <w:bCs/>
          <w:color w:val="000000" w:themeColor="text1"/>
          <w:sz w:val="22"/>
          <w:szCs w:val="22"/>
          <w:lang w:val="es-AR" w:eastAsia="en-US"/>
        </w:rPr>
        <w:t>.</w:t>
      </w:r>
    </w:p>
    <w:p w14:paraId="18B6D7F1" w14:textId="4784FCCB"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lastRenderedPageBreak/>
        <w:t xml:space="preserve">Lo que pinta para el 2022 apunta a ser uno de los peores años, se verán entonces las acciones del gobierno para atemperar esto. El promedio de los </w:t>
      </w:r>
      <w:r w:rsidR="00042665" w:rsidRPr="009423EA">
        <w:rPr>
          <w:rFonts w:ascii="Calibri" w:eastAsia="Calibri" w:hAnsi="Calibri" w:cs="Times New Roman"/>
          <w:bCs/>
          <w:color w:val="000000" w:themeColor="text1"/>
          <w:sz w:val="22"/>
          <w:szCs w:val="22"/>
          <w:lang w:val="es-AR" w:eastAsia="en-US"/>
        </w:rPr>
        <w:t>o</w:t>
      </w:r>
      <w:r w:rsidRPr="009423EA">
        <w:rPr>
          <w:rFonts w:ascii="Calibri" w:eastAsia="Calibri" w:hAnsi="Calibri" w:cs="Times New Roman"/>
          <w:bCs/>
          <w:color w:val="000000" w:themeColor="text1"/>
          <w:sz w:val="22"/>
          <w:szCs w:val="22"/>
          <w:lang w:val="es-AR" w:eastAsia="en-US"/>
        </w:rPr>
        <w:t xml:space="preserve">rganismos ronda </w:t>
      </w:r>
      <w:r w:rsidR="00976208" w:rsidRPr="009423EA">
        <w:rPr>
          <w:rFonts w:ascii="Calibri" w:eastAsia="Calibri" w:hAnsi="Calibri" w:cs="Times New Roman"/>
          <w:bCs/>
          <w:color w:val="000000" w:themeColor="text1"/>
          <w:sz w:val="22"/>
          <w:szCs w:val="22"/>
          <w:lang w:val="es-AR" w:eastAsia="en-US"/>
        </w:rPr>
        <w:t xml:space="preserve">el </w:t>
      </w:r>
      <w:r w:rsidRPr="009423EA">
        <w:rPr>
          <w:rFonts w:ascii="Calibri" w:eastAsia="Calibri" w:hAnsi="Calibri" w:cs="Times New Roman"/>
          <w:bCs/>
          <w:color w:val="000000" w:themeColor="text1"/>
          <w:sz w:val="22"/>
          <w:szCs w:val="22"/>
          <w:lang w:val="es-AR" w:eastAsia="en-US"/>
        </w:rPr>
        <w:t>55 % anual, evidentemente un alto valor. Ver cuadro.</w:t>
      </w:r>
    </w:p>
    <w:p w14:paraId="0B66B432" w14:textId="605666DA"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Alimentos y Bebidas en </w:t>
      </w:r>
      <w:r w:rsidRPr="009423EA">
        <w:rPr>
          <w:rFonts w:ascii="Calibri" w:eastAsia="Calibri" w:hAnsi="Calibri" w:cs="Times New Roman"/>
          <w:b/>
          <w:bCs/>
          <w:color w:val="000000" w:themeColor="text1"/>
          <w:sz w:val="22"/>
          <w:szCs w:val="22"/>
          <w:lang w:val="es-AR" w:eastAsia="en-US"/>
        </w:rPr>
        <w:t>FEBRERO</w:t>
      </w:r>
      <w:r w:rsidRPr="009423EA">
        <w:rPr>
          <w:rFonts w:ascii="Calibri" w:eastAsia="Calibri" w:hAnsi="Calibri" w:cs="Times New Roman"/>
          <w:bCs/>
          <w:color w:val="000000" w:themeColor="text1"/>
          <w:sz w:val="22"/>
          <w:szCs w:val="22"/>
          <w:lang w:val="es-AR" w:eastAsia="en-US"/>
        </w:rPr>
        <w:t xml:space="preserve"> de 2022 en el a/a observó un aumento bastante similar entre los organismos, expuesto tanto por el Indec como por los Institutos Provinciales. Las diferencias posiblemente se vayan limando con el paso de los meses.</w:t>
      </w:r>
      <w:r w:rsidR="00F045F5" w:rsidRPr="009423EA">
        <w:rPr>
          <w:rFonts w:ascii="Calibri" w:eastAsia="Calibri" w:hAnsi="Calibri" w:cs="Times New Roman"/>
          <w:bCs/>
          <w:color w:val="000000" w:themeColor="text1"/>
          <w:sz w:val="22"/>
          <w:szCs w:val="22"/>
          <w:lang w:val="es-AR" w:eastAsia="en-US"/>
        </w:rPr>
        <w:t xml:space="preserve"> </w:t>
      </w:r>
      <w:r w:rsidR="00BA3611" w:rsidRPr="009423EA">
        <w:rPr>
          <w:rFonts w:ascii="Calibri" w:eastAsia="Calibri" w:hAnsi="Calibri" w:cs="Times New Roman"/>
          <w:bCs/>
          <w:color w:val="000000" w:themeColor="text1"/>
          <w:sz w:val="22"/>
          <w:szCs w:val="22"/>
          <w:lang w:val="es-AR" w:eastAsia="en-US"/>
        </w:rPr>
        <w:t>El</w:t>
      </w:r>
      <w:r w:rsidRPr="009423EA">
        <w:rPr>
          <w:rFonts w:ascii="Calibri" w:eastAsia="Calibri" w:hAnsi="Calibri" w:cs="Times New Roman"/>
          <w:bCs/>
          <w:color w:val="000000" w:themeColor="text1"/>
          <w:sz w:val="22"/>
          <w:szCs w:val="22"/>
          <w:lang w:val="es-AR" w:eastAsia="en-US"/>
        </w:rPr>
        <w:t xml:space="preserve"> acumulado se hace sentir como lo mostramos en el gráfico. La</w:t>
      </w:r>
      <w:r w:rsidRPr="009423EA">
        <w:rPr>
          <w:rFonts w:ascii="Calibri" w:eastAsia="Calibri" w:hAnsi="Calibri" w:cs="Times New Roman"/>
          <w:bCs/>
          <w:i/>
          <w:i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importancia que tiene este capítulo es doble: por un lado, la incidencia sobre los ingresos más bajos y, por el otro, la alta ponderación en la canasta de los IPC. </w:t>
      </w:r>
    </w:p>
    <w:p w14:paraId="0D6F0B0A" w14:textId="294AE9E1" w:rsidR="005708A1" w:rsidRPr="009423EA" w:rsidRDefault="004C496D" w:rsidP="005E3312">
      <w:pPr>
        <w:spacing w:after="160" w:line="259" w:lineRule="auto"/>
        <w:jc w:val="both"/>
        <w:rPr>
          <w:rFonts w:ascii="Calibri" w:eastAsia="Calibri" w:hAnsi="Calibri" w:cs="Times New Roman"/>
          <w:bCs/>
          <w:color w:val="000000" w:themeColor="text1"/>
          <w:sz w:val="22"/>
          <w:szCs w:val="22"/>
          <w:lang w:val="es-AR" w:eastAsia="en-US"/>
        </w:rPr>
      </w:pPr>
      <w:r>
        <w:rPr>
          <w:rFonts w:ascii="Calibri" w:eastAsia="Calibri" w:hAnsi="Calibri" w:cs="Times New Roman"/>
          <w:bCs/>
          <w:noProof/>
          <w:color w:val="000000" w:themeColor="text1"/>
          <w:sz w:val="22"/>
          <w:szCs w:val="22"/>
          <w:lang w:val="es-AR" w:eastAsia="es-AR"/>
        </w:rPr>
        <w:drawing>
          <wp:inline distT="0" distB="0" distL="0" distR="0" wp14:anchorId="46D6EC61" wp14:editId="311E7FDD">
            <wp:extent cx="4463066" cy="324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3066" cy="3240000"/>
                    </a:xfrm>
                    <a:prstGeom prst="rect">
                      <a:avLst/>
                    </a:prstGeom>
                    <a:noFill/>
                  </pic:spPr>
                </pic:pic>
              </a:graphicData>
            </a:graphic>
          </wp:inline>
        </w:drawing>
      </w:r>
    </w:p>
    <w:p w14:paraId="2F822324" w14:textId="350636BA" w:rsidR="005E3312" w:rsidRPr="009423EA" w:rsidRDefault="00847D15" w:rsidP="005E3312">
      <w:pPr>
        <w:spacing w:after="160" w:line="259" w:lineRule="auto"/>
        <w:jc w:val="both"/>
        <w:rPr>
          <w:rFonts w:ascii="Calibri" w:eastAsia="Calibri" w:hAnsi="Calibri" w:cs="Times New Roman"/>
          <w:b/>
          <w:bCs/>
          <w:color w:val="1F497D" w:themeColor="text2"/>
          <w:sz w:val="28"/>
          <w:szCs w:val="28"/>
          <w:lang w:val="es-AR" w:eastAsia="en-US"/>
        </w:rPr>
      </w:pPr>
      <w:r w:rsidRPr="009423EA">
        <w:rPr>
          <w:rFonts w:ascii="Calibri" w:eastAsia="Calibri" w:hAnsi="Calibri" w:cs="Times New Roman"/>
          <w:b/>
          <w:bCs/>
          <w:color w:val="1F497D" w:themeColor="text2"/>
          <w:sz w:val="28"/>
          <w:szCs w:val="28"/>
          <w:lang w:val="es-AR" w:eastAsia="en-US"/>
        </w:rPr>
        <w:t>Vivienda y Servicios Básicos</w:t>
      </w:r>
    </w:p>
    <w:p w14:paraId="13C8F10D" w14:textId="7F48F3E1"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El índice del Capítulo Vivienda y Servicios Básicos es superior al dólar oficial. En cambio lo superan la tasa de política monetaria, los salarios y también la mayoría de los restantes Capítulos de los IPC.  Está claro que es un efecto buscado, algo así como una anclita. </w:t>
      </w:r>
    </w:p>
    <w:p w14:paraId="1ED42A49" w14:textId="51D66ABF"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En este Capítulo se concentran servicios como electricidad, agua, gas y otros</w:t>
      </w:r>
      <w:r w:rsidR="00976208"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por ejemplo</w:t>
      </w:r>
      <w:r w:rsidR="00976208"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alquileres. La ponderación del </w:t>
      </w:r>
      <w:r w:rsidR="00976208" w:rsidRPr="009423EA">
        <w:rPr>
          <w:rFonts w:ascii="Calibri" w:eastAsia="Calibri" w:hAnsi="Calibri" w:cs="Times New Roman"/>
          <w:bCs/>
          <w:color w:val="000000" w:themeColor="text1"/>
          <w:sz w:val="22"/>
          <w:szCs w:val="22"/>
          <w:lang w:val="es-ES" w:eastAsia="en-US"/>
        </w:rPr>
        <w:t>C</w:t>
      </w:r>
      <w:r w:rsidRPr="009423EA">
        <w:rPr>
          <w:rFonts w:ascii="Calibri" w:eastAsia="Calibri" w:hAnsi="Calibri" w:cs="Times New Roman"/>
          <w:bCs/>
          <w:color w:val="000000" w:themeColor="text1"/>
          <w:sz w:val="22"/>
          <w:szCs w:val="22"/>
          <w:lang w:val="es-ES" w:eastAsia="en-US"/>
        </w:rPr>
        <w:t>apítulo es importante en el índice. Será un Capítulo a seguir con atención en los próximos meses. ¿Por qué? En algún momento estos precios salen de su letargo, y entonces...</w:t>
      </w:r>
      <w:r w:rsidR="00976208" w:rsidRPr="009423EA">
        <w:rPr>
          <w:rFonts w:ascii="Calibri" w:eastAsia="Calibri" w:hAnsi="Calibri" w:cs="Times New Roman"/>
          <w:bCs/>
          <w:color w:val="000000" w:themeColor="text1"/>
          <w:sz w:val="22"/>
          <w:szCs w:val="22"/>
          <w:lang w:val="es-ES" w:eastAsia="en-US"/>
        </w:rPr>
        <w:t xml:space="preserve"> </w:t>
      </w:r>
      <w:r w:rsidRPr="009423EA">
        <w:rPr>
          <w:rFonts w:ascii="Calibri" w:eastAsia="Calibri" w:hAnsi="Calibri" w:cs="Times New Roman"/>
          <w:bCs/>
          <w:color w:val="000000" w:themeColor="text1"/>
          <w:sz w:val="22"/>
          <w:szCs w:val="22"/>
          <w:lang w:val="es-ES" w:eastAsia="en-US"/>
        </w:rPr>
        <w:t xml:space="preserve">¿subsidios? ¿nuevas tarifas? ¿impacto en el índice? </w:t>
      </w:r>
      <w:r w:rsidRPr="009423EA">
        <w:rPr>
          <w:rFonts w:ascii="Calibri" w:eastAsia="Calibri" w:hAnsi="Calibri" w:cs="Times New Roman"/>
          <w:b/>
          <w:bCs/>
          <w:i/>
          <w:iCs/>
          <w:color w:val="000000" w:themeColor="text1"/>
          <w:sz w:val="22"/>
          <w:szCs w:val="22"/>
          <w:lang w:val="es-ES" w:eastAsia="en-US"/>
        </w:rPr>
        <w:t>Cosas veredes</w:t>
      </w:r>
      <w:r w:rsidR="00976208" w:rsidRPr="009423EA">
        <w:rPr>
          <w:rFonts w:ascii="Calibri" w:eastAsia="Calibri" w:hAnsi="Calibri" w:cs="Times New Roman"/>
          <w:b/>
          <w:bCs/>
          <w:i/>
          <w:iCs/>
          <w:color w:val="000000" w:themeColor="text1"/>
          <w:sz w:val="22"/>
          <w:szCs w:val="22"/>
          <w:lang w:val="es-ES" w:eastAsia="en-US"/>
        </w:rPr>
        <w:t>,</w:t>
      </w:r>
      <w:r w:rsidRPr="009423EA">
        <w:rPr>
          <w:rFonts w:ascii="Calibri" w:eastAsia="Calibri" w:hAnsi="Calibri" w:cs="Times New Roman"/>
          <w:b/>
          <w:bCs/>
          <w:i/>
          <w:iCs/>
          <w:color w:val="000000" w:themeColor="text1"/>
          <w:sz w:val="22"/>
          <w:szCs w:val="22"/>
          <w:lang w:val="es-ES" w:eastAsia="en-US"/>
        </w:rPr>
        <w:t xml:space="preserve"> dice </w:t>
      </w:r>
      <w:r w:rsidR="00BA3611" w:rsidRPr="009423EA">
        <w:rPr>
          <w:rFonts w:ascii="Calibri" w:eastAsia="Calibri" w:hAnsi="Calibri" w:cs="Times New Roman"/>
          <w:b/>
          <w:bCs/>
          <w:i/>
          <w:iCs/>
          <w:color w:val="000000" w:themeColor="text1"/>
          <w:sz w:val="22"/>
          <w:szCs w:val="22"/>
          <w:lang w:val="es-ES" w:eastAsia="en-US"/>
        </w:rPr>
        <w:t>también</w:t>
      </w:r>
      <w:r w:rsidRPr="009423EA">
        <w:rPr>
          <w:rFonts w:ascii="Calibri" w:eastAsia="Calibri" w:hAnsi="Calibri" w:cs="Times New Roman"/>
          <w:b/>
          <w:bCs/>
          <w:i/>
          <w:iCs/>
          <w:color w:val="000000" w:themeColor="text1"/>
          <w:sz w:val="22"/>
          <w:szCs w:val="22"/>
          <w:lang w:val="es-ES" w:eastAsia="en-US"/>
        </w:rPr>
        <w:t xml:space="preserve"> ahora el FMI.</w:t>
      </w:r>
    </w:p>
    <w:p w14:paraId="4C66EC97" w14:textId="6193F7CB"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En el acumulado de 12 meses resultan DIFERENTES los diversos Índices de los Organismos Estadísticos, producto de que algunos servicios tienen representación provincial y su impacto en los precios difiere en los meses, pero ninguno se aleja del promedio. Agregan complejidad las prestaciones de empresas de las Provincias, por ejemplo el agua y la electricidad. Eso de por sí generará más ruidos o mayores dificultades a la hora de resolverlos. ¿Qué ocurrirá? En el horizonte </w:t>
      </w:r>
      <w:r w:rsidR="00976208" w:rsidRPr="009423EA">
        <w:rPr>
          <w:rFonts w:ascii="Calibri" w:eastAsia="Calibri" w:hAnsi="Calibri" w:cs="Times New Roman"/>
          <w:bCs/>
          <w:color w:val="000000" w:themeColor="text1"/>
          <w:sz w:val="22"/>
          <w:szCs w:val="22"/>
          <w:lang w:val="es-ES" w:eastAsia="en-US"/>
        </w:rPr>
        <w:t xml:space="preserve">están </w:t>
      </w:r>
      <w:r w:rsidRPr="009423EA">
        <w:rPr>
          <w:rFonts w:ascii="Calibri" w:eastAsia="Calibri" w:hAnsi="Calibri" w:cs="Times New Roman"/>
          <w:bCs/>
          <w:color w:val="000000" w:themeColor="text1"/>
          <w:sz w:val="22"/>
          <w:szCs w:val="22"/>
          <w:lang w:val="es-ES" w:eastAsia="en-US"/>
        </w:rPr>
        <w:t>las decisiones planteadas para el 2022. Algunos aumentos vienen marchando.</w:t>
      </w:r>
    </w:p>
    <w:p w14:paraId="46E1CB78" w14:textId="6670FD93"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En un gráfico anterior mencionamos que el año 2017, época del gobierno anterior, fue el único con resultado real de los salarios. También debemos incluir que se presenta como el período donde </w:t>
      </w:r>
      <w:r w:rsidRPr="009423EA">
        <w:rPr>
          <w:rFonts w:ascii="Calibri" w:eastAsia="Calibri" w:hAnsi="Calibri" w:cs="Times New Roman"/>
          <w:b/>
          <w:bCs/>
          <w:color w:val="000000" w:themeColor="text1"/>
          <w:sz w:val="22"/>
          <w:szCs w:val="22"/>
          <w:lang w:val="es-ES" w:eastAsia="en-US"/>
        </w:rPr>
        <w:t>las tarifas se incrementaron fuertemente</w:t>
      </w:r>
      <w:r w:rsidRPr="009423EA">
        <w:rPr>
          <w:rFonts w:ascii="Calibri" w:eastAsia="Calibri" w:hAnsi="Calibri" w:cs="Times New Roman"/>
          <w:bCs/>
          <w:color w:val="000000" w:themeColor="text1"/>
          <w:sz w:val="22"/>
          <w:szCs w:val="22"/>
          <w:lang w:val="es-ES" w:eastAsia="en-US"/>
        </w:rPr>
        <w:t>. Hoy por hoy</w:t>
      </w:r>
      <w:r w:rsidR="00976208"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parte de las discusiones políticas tienen que ver con los servicios </w:t>
      </w:r>
      <w:r w:rsidRPr="009423EA">
        <w:rPr>
          <w:rFonts w:ascii="Calibri" w:eastAsia="Calibri" w:hAnsi="Calibri" w:cs="Times New Roman"/>
          <w:bCs/>
          <w:color w:val="000000" w:themeColor="text1"/>
          <w:sz w:val="22"/>
          <w:szCs w:val="22"/>
          <w:lang w:val="es-ES" w:eastAsia="en-US"/>
        </w:rPr>
        <w:lastRenderedPageBreak/>
        <w:t xml:space="preserve">que integran este capítulo. Seguramente, estas discusiones continuarán aupadas </w:t>
      </w:r>
      <w:r w:rsidR="00976208" w:rsidRPr="009423EA">
        <w:rPr>
          <w:rFonts w:ascii="Calibri" w:eastAsia="Calibri" w:hAnsi="Calibri" w:cs="Times New Roman"/>
          <w:bCs/>
          <w:color w:val="000000" w:themeColor="text1"/>
          <w:sz w:val="22"/>
          <w:szCs w:val="22"/>
          <w:lang w:val="es-ES" w:eastAsia="en-US"/>
        </w:rPr>
        <w:t>en</w:t>
      </w:r>
      <w:r w:rsidRPr="009423EA">
        <w:rPr>
          <w:rFonts w:ascii="Calibri" w:eastAsia="Calibri" w:hAnsi="Calibri" w:cs="Times New Roman"/>
          <w:bCs/>
          <w:color w:val="000000" w:themeColor="text1"/>
          <w:sz w:val="22"/>
          <w:szCs w:val="22"/>
          <w:lang w:val="es-ES" w:eastAsia="en-US"/>
        </w:rPr>
        <w:t xml:space="preserve"> las discusiones </w:t>
      </w:r>
      <w:r w:rsidR="00BA3611" w:rsidRPr="009423EA">
        <w:rPr>
          <w:rFonts w:ascii="Calibri" w:eastAsia="Calibri" w:hAnsi="Calibri" w:cs="Times New Roman"/>
          <w:bCs/>
          <w:color w:val="000000" w:themeColor="text1"/>
          <w:sz w:val="22"/>
          <w:szCs w:val="22"/>
          <w:lang w:val="es-ES" w:eastAsia="en-US"/>
        </w:rPr>
        <w:t>políticas</w:t>
      </w:r>
      <w:r w:rsidRPr="009423EA">
        <w:rPr>
          <w:rFonts w:ascii="Calibri" w:eastAsia="Calibri" w:hAnsi="Calibri" w:cs="Times New Roman"/>
          <w:bCs/>
          <w:color w:val="000000" w:themeColor="text1"/>
          <w:sz w:val="22"/>
          <w:szCs w:val="22"/>
          <w:lang w:val="es-ES" w:eastAsia="en-US"/>
        </w:rPr>
        <w:t>.</w:t>
      </w:r>
      <w:r w:rsidR="00F045F5"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ES" w:eastAsia="en-US"/>
        </w:rPr>
        <w:t xml:space="preserve">Será uno de los </w:t>
      </w:r>
      <w:r w:rsidR="00BA3611" w:rsidRPr="009423EA">
        <w:rPr>
          <w:rFonts w:ascii="Calibri" w:eastAsia="Calibri" w:hAnsi="Calibri" w:cs="Times New Roman"/>
          <w:bCs/>
          <w:color w:val="000000" w:themeColor="text1"/>
          <w:sz w:val="22"/>
          <w:szCs w:val="22"/>
          <w:lang w:val="es-ES" w:eastAsia="en-US"/>
        </w:rPr>
        <w:t>capítulos</w:t>
      </w:r>
      <w:r w:rsidRPr="009423EA">
        <w:rPr>
          <w:rFonts w:ascii="Calibri" w:eastAsia="Calibri" w:hAnsi="Calibri" w:cs="Times New Roman"/>
          <w:bCs/>
          <w:color w:val="000000" w:themeColor="text1"/>
          <w:sz w:val="22"/>
          <w:szCs w:val="22"/>
          <w:lang w:val="es-ES" w:eastAsia="en-US"/>
        </w:rPr>
        <w:t xml:space="preserve"> a seguir con atención.</w:t>
      </w:r>
    </w:p>
    <w:p w14:paraId="2349692F" w14:textId="751D0783" w:rsidR="00194852" w:rsidRPr="009423EA" w:rsidRDefault="004C496D" w:rsidP="00E91E95">
      <w:pPr>
        <w:spacing w:after="160" w:line="259" w:lineRule="auto"/>
        <w:jc w:val="both"/>
        <w:rPr>
          <w:rFonts w:ascii="Calibri" w:eastAsia="Calibri" w:hAnsi="Calibri" w:cs="Times New Roman"/>
          <w:bCs/>
          <w:color w:val="000000" w:themeColor="text1"/>
          <w:sz w:val="22"/>
          <w:szCs w:val="22"/>
          <w:lang w:val="es-AR" w:eastAsia="en-US"/>
        </w:rPr>
      </w:pPr>
      <w:r>
        <w:rPr>
          <w:rFonts w:ascii="Calibri" w:eastAsia="Calibri" w:hAnsi="Calibri" w:cs="Times New Roman"/>
          <w:bCs/>
          <w:noProof/>
          <w:color w:val="000000" w:themeColor="text1"/>
          <w:sz w:val="22"/>
          <w:szCs w:val="22"/>
          <w:lang w:val="es-AR" w:eastAsia="es-AR"/>
        </w:rPr>
        <w:drawing>
          <wp:inline distT="0" distB="0" distL="0" distR="0" wp14:anchorId="5A41BBBD" wp14:editId="64BCE2F9">
            <wp:extent cx="4459823" cy="324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9823" cy="3240000"/>
                    </a:xfrm>
                    <a:prstGeom prst="rect">
                      <a:avLst/>
                    </a:prstGeom>
                    <a:noFill/>
                  </pic:spPr>
                </pic:pic>
              </a:graphicData>
            </a:graphic>
          </wp:inline>
        </w:drawing>
      </w:r>
    </w:p>
    <w:p w14:paraId="06990BC3" w14:textId="6260642A" w:rsidR="00BE582D" w:rsidRPr="009423EA" w:rsidRDefault="0086039A" w:rsidP="00E91E95">
      <w:pPr>
        <w:spacing w:after="160" w:line="259" w:lineRule="auto"/>
        <w:jc w:val="both"/>
        <w:rPr>
          <w:rFonts w:ascii="Calibri" w:eastAsia="Calibri" w:hAnsi="Calibri" w:cs="Times New Roman"/>
          <w:color w:val="1F497D" w:themeColor="text2"/>
          <w:sz w:val="28"/>
          <w:szCs w:val="28"/>
          <w:lang w:val="es-AR" w:eastAsia="en-US"/>
        </w:rPr>
      </w:pPr>
      <w:r w:rsidRPr="009423EA">
        <w:rPr>
          <w:rFonts w:ascii="Calibri" w:eastAsia="Calibri" w:hAnsi="Calibri" w:cs="Times New Roman"/>
          <w:b/>
          <w:bCs/>
          <w:color w:val="1F497D" w:themeColor="text2"/>
          <w:sz w:val="28"/>
          <w:szCs w:val="28"/>
          <w:lang w:val="es-AR" w:eastAsia="en-US"/>
        </w:rPr>
        <w:t xml:space="preserve">¿Qué ocurre con el Nivel General </w:t>
      </w:r>
      <w:r w:rsidR="00976208" w:rsidRPr="009423EA">
        <w:rPr>
          <w:rFonts w:ascii="Calibri" w:eastAsia="Calibri" w:hAnsi="Calibri" w:cs="Times New Roman"/>
          <w:b/>
          <w:bCs/>
          <w:color w:val="1F497D" w:themeColor="text2"/>
          <w:sz w:val="28"/>
          <w:szCs w:val="28"/>
          <w:lang w:val="es-AR" w:eastAsia="en-US"/>
        </w:rPr>
        <w:t>d</w:t>
      </w:r>
      <w:r w:rsidRPr="009423EA">
        <w:rPr>
          <w:rFonts w:ascii="Calibri" w:eastAsia="Calibri" w:hAnsi="Calibri" w:cs="Times New Roman"/>
          <w:b/>
          <w:bCs/>
          <w:color w:val="1F497D" w:themeColor="text2"/>
          <w:sz w:val="28"/>
          <w:szCs w:val="28"/>
          <w:lang w:val="es-AR" w:eastAsia="en-US"/>
        </w:rPr>
        <w:t>el</w:t>
      </w:r>
      <w:r w:rsidR="00F7593D" w:rsidRPr="009423EA">
        <w:rPr>
          <w:rFonts w:ascii="Calibri" w:eastAsia="Calibri" w:hAnsi="Calibri" w:cs="Times New Roman"/>
          <w:b/>
          <w:bCs/>
          <w:color w:val="1F497D" w:themeColor="text2"/>
          <w:sz w:val="28"/>
          <w:szCs w:val="28"/>
          <w:lang w:val="es-AR" w:eastAsia="en-US"/>
        </w:rPr>
        <w:t xml:space="preserve"> Mes</w:t>
      </w:r>
      <w:r w:rsidRPr="009423EA">
        <w:rPr>
          <w:rFonts w:ascii="Calibri" w:eastAsia="Calibri" w:hAnsi="Calibri" w:cs="Times New Roman"/>
          <w:b/>
          <w:bCs/>
          <w:color w:val="1F497D" w:themeColor="text2"/>
          <w:sz w:val="28"/>
          <w:szCs w:val="28"/>
          <w:lang w:val="es-AR" w:eastAsia="en-US"/>
        </w:rPr>
        <w:t>?</w:t>
      </w:r>
      <w:r w:rsidRPr="009423EA">
        <w:rPr>
          <w:rFonts w:ascii="Calibri" w:eastAsia="Calibri" w:hAnsi="Calibri" w:cs="Times New Roman"/>
          <w:color w:val="1F497D" w:themeColor="text2"/>
          <w:sz w:val="28"/>
          <w:szCs w:val="28"/>
          <w:lang w:val="es-AR" w:eastAsia="en-US"/>
        </w:rPr>
        <w:t xml:space="preserve"> </w:t>
      </w:r>
    </w:p>
    <w:p w14:paraId="1D302408" w14:textId="351984F5"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En </w:t>
      </w:r>
      <w:r w:rsidRPr="009423EA">
        <w:rPr>
          <w:rFonts w:ascii="Calibri" w:eastAsia="Calibri" w:hAnsi="Calibri" w:cs="Times New Roman"/>
          <w:b/>
          <w:bCs/>
          <w:color w:val="000000" w:themeColor="text1"/>
          <w:sz w:val="22"/>
          <w:szCs w:val="22"/>
          <w:lang w:val="es-AR" w:eastAsia="en-US"/>
        </w:rPr>
        <w:t xml:space="preserve">FEBRERO del 2022 </w:t>
      </w:r>
      <w:r w:rsidRPr="009423EA">
        <w:rPr>
          <w:rFonts w:ascii="Calibri" w:eastAsia="Calibri" w:hAnsi="Calibri" w:cs="Times New Roman"/>
          <w:color w:val="000000" w:themeColor="text1"/>
          <w:sz w:val="22"/>
          <w:szCs w:val="22"/>
          <w:lang w:val="es-AR" w:eastAsia="en-US"/>
        </w:rPr>
        <w:t xml:space="preserve">el dólar dio nuevamente la nota. Se incrementó pero por debajo de la inflación. El aumento fue del 2.4 %, en tanto la inflación promedio </w:t>
      </w:r>
      <w:r w:rsidR="00976208" w:rsidRPr="009423EA">
        <w:rPr>
          <w:rFonts w:ascii="Calibri" w:eastAsia="Calibri" w:hAnsi="Calibri" w:cs="Times New Roman"/>
          <w:color w:val="000000" w:themeColor="text1"/>
          <w:sz w:val="22"/>
          <w:szCs w:val="22"/>
          <w:lang w:val="es-AR" w:eastAsia="en-US"/>
        </w:rPr>
        <w:t>r</w:t>
      </w:r>
      <w:r w:rsidRPr="009423EA">
        <w:rPr>
          <w:rFonts w:ascii="Calibri" w:eastAsia="Calibri" w:hAnsi="Calibri" w:cs="Times New Roman"/>
          <w:color w:val="000000" w:themeColor="text1"/>
          <w:sz w:val="22"/>
          <w:szCs w:val="22"/>
          <w:lang w:val="es-AR" w:eastAsia="en-US"/>
        </w:rPr>
        <w:t>ondó el 4.8 % y en algunos casos un poco más.</w:t>
      </w:r>
    </w:p>
    <w:p w14:paraId="5AE306D2" w14:textId="7671458A"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Se verifica que la mayoría de los IPC en el Nivel General dan cuenta de porcentajes relativamente similares, pero siempre se encuentran algunas diferencias. En este mes los porcentuales varían entre el 4.1 % y el 5.9 %. En el 2022 se observa que </w:t>
      </w:r>
      <w:r w:rsidRPr="009423EA">
        <w:rPr>
          <w:rFonts w:ascii="Calibri" w:eastAsia="Calibri" w:hAnsi="Calibri" w:cs="Times New Roman"/>
          <w:b/>
          <w:bCs/>
          <w:color w:val="000000" w:themeColor="text1"/>
          <w:sz w:val="22"/>
          <w:szCs w:val="22"/>
          <w:lang w:val="es-AR" w:eastAsia="en-US"/>
        </w:rPr>
        <w:t>febrero</w:t>
      </w:r>
      <w:r w:rsidRPr="009423EA">
        <w:rPr>
          <w:rFonts w:ascii="Calibri" w:eastAsia="Calibri" w:hAnsi="Calibri" w:cs="Times New Roman"/>
          <w:color w:val="000000" w:themeColor="text1"/>
          <w:sz w:val="22"/>
          <w:szCs w:val="22"/>
          <w:lang w:val="es-AR" w:eastAsia="en-US"/>
        </w:rPr>
        <w:t xml:space="preserve"> muestra un crecimiento superior a </w:t>
      </w:r>
      <w:r w:rsidR="003A5CBE" w:rsidRPr="009423EA">
        <w:rPr>
          <w:rFonts w:ascii="Calibri" w:eastAsia="Calibri" w:hAnsi="Calibri" w:cs="Times New Roman"/>
          <w:color w:val="000000" w:themeColor="text1"/>
          <w:sz w:val="22"/>
          <w:szCs w:val="22"/>
          <w:lang w:val="es-AR" w:eastAsia="en-US"/>
        </w:rPr>
        <w:t xml:space="preserve">ese mismo </w:t>
      </w:r>
      <w:r w:rsidR="00976208" w:rsidRPr="009423EA">
        <w:rPr>
          <w:rFonts w:ascii="Calibri" w:eastAsia="Calibri" w:hAnsi="Calibri" w:cs="Times New Roman"/>
          <w:color w:val="000000" w:themeColor="text1"/>
          <w:sz w:val="22"/>
          <w:szCs w:val="22"/>
          <w:lang w:val="es-AR" w:eastAsia="en-US"/>
        </w:rPr>
        <w:t>mes</w:t>
      </w:r>
      <w:r w:rsidR="003A5CBE" w:rsidRPr="009423EA">
        <w:rPr>
          <w:rFonts w:ascii="Calibri" w:eastAsia="Calibri" w:hAnsi="Calibri" w:cs="Times New Roman"/>
          <w:color w:val="000000" w:themeColor="text1"/>
          <w:sz w:val="22"/>
          <w:szCs w:val="22"/>
          <w:lang w:val="es-AR" w:eastAsia="en-US"/>
        </w:rPr>
        <w:t xml:space="preserve"> </w:t>
      </w:r>
      <w:r w:rsidR="00976208" w:rsidRPr="009423EA">
        <w:rPr>
          <w:rFonts w:ascii="Calibri" w:eastAsia="Calibri" w:hAnsi="Calibri" w:cs="Times New Roman"/>
          <w:color w:val="000000" w:themeColor="text1"/>
          <w:sz w:val="22"/>
          <w:szCs w:val="22"/>
          <w:lang w:val="es-AR" w:eastAsia="en-US"/>
        </w:rPr>
        <w:t>en</w:t>
      </w:r>
      <w:r w:rsidRPr="009423EA">
        <w:rPr>
          <w:rFonts w:ascii="Calibri" w:eastAsia="Calibri" w:hAnsi="Calibri" w:cs="Times New Roman"/>
          <w:color w:val="000000" w:themeColor="text1"/>
          <w:sz w:val="22"/>
          <w:szCs w:val="22"/>
          <w:lang w:val="es-AR" w:eastAsia="en-US"/>
        </w:rPr>
        <w:t xml:space="preserve"> otros años. </w:t>
      </w:r>
    </w:p>
    <w:p w14:paraId="52897DCE" w14:textId="6D09E142" w:rsidR="00CA2A57" w:rsidRPr="009423EA" w:rsidRDefault="003A5CBE"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En febrero del 2014 hubo una explosión del dólar</w:t>
      </w:r>
      <w:r w:rsidR="00CA2A57" w:rsidRPr="009423EA">
        <w:rPr>
          <w:rFonts w:ascii="Calibri" w:eastAsia="Calibri" w:hAnsi="Calibri" w:cs="Times New Roman"/>
          <w:color w:val="000000" w:themeColor="text1"/>
          <w:sz w:val="22"/>
          <w:szCs w:val="22"/>
          <w:lang w:val="es-AR" w:eastAsia="en-US"/>
        </w:rPr>
        <w:t>.</w:t>
      </w:r>
    </w:p>
    <w:p w14:paraId="7FAC27AA" w14:textId="07CDE603"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El BCRA mantiene en promedio la tasa política monetaria desde hace un tiempo, pero algo se </w:t>
      </w:r>
      <w:r w:rsidR="00BA3611" w:rsidRPr="009423EA">
        <w:rPr>
          <w:rFonts w:ascii="Calibri" w:eastAsia="Calibri" w:hAnsi="Calibri" w:cs="Times New Roman"/>
          <w:color w:val="000000" w:themeColor="text1"/>
          <w:sz w:val="22"/>
          <w:szCs w:val="22"/>
          <w:lang w:val="es-AR" w:eastAsia="en-US"/>
        </w:rPr>
        <w:t>modificó</w:t>
      </w:r>
      <w:r w:rsidRPr="009423EA">
        <w:rPr>
          <w:rFonts w:ascii="Calibri" w:eastAsia="Calibri" w:hAnsi="Calibri" w:cs="Times New Roman"/>
          <w:color w:val="000000" w:themeColor="text1"/>
          <w:sz w:val="22"/>
          <w:szCs w:val="22"/>
          <w:lang w:val="es-AR" w:eastAsia="en-US"/>
        </w:rPr>
        <w:t>.</w:t>
      </w:r>
    </w:p>
    <w:p w14:paraId="1FEBCE1C" w14:textId="46787B34" w:rsidR="00CA2A57" w:rsidRPr="009423EA" w:rsidRDefault="003A5CBE"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¿Q</w:t>
      </w:r>
      <w:r w:rsidR="00CA2A57" w:rsidRPr="009423EA">
        <w:rPr>
          <w:rFonts w:ascii="Calibri" w:eastAsia="Calibri" w:hAnsi="Calibri" w:cs="Times New Roman"/>
          <w:bCs/>
          <w:color w:val="000000" w:themeColor="text1"/>
          <w:sz w:val="22"/>
          <w:szCs w:val="22"/>
          <w:lang w:val="es-AR" w:eastAsia="en-US"/>
        </w:rPr>
        <w:t>ué ocurrió con los índices de precios en los distintos IPC analizados con aumentos por encima del dólar? En FEBRERO</w:t>
      </w:r>
      <w:r w:rsidR="00CA2A57" w:rsidRPr="009423EA">
        <w:rPr>
          <w:rFonts w:ascii="Calibri" w:eastAsia="Calibri" w:hAnsi="Calibri" w:cs="Times New Roman"/>
          <w:color w:val="000000" w:themeColor="text1"/>
          <w:sz w:val="22"/>
          <w:szCs w:val="22"/>
          <w:lang w:val="es-AR" w:eastAsia="en-US"/>
        </w:rPr>
        <w:t xml:space="preserve"> de</w:t>
      </w:r>
      <w:r w:rsidRPr="009423EA">
        <w:rPr>
          <w:rFonts w:ascii="Calibri" w:eastAsia="Calibri" w:hAnsi="Calibri" w:cs="Times New Roman"/>
          <w:color w:val="000000" w:themeColor="text1"/>
          <w:sz w:val="22"/>
          <w:szCs w:val="22"/>
          <w:lang w:val="es-AR" w:eastAsia="en-US"/>
        </w:rPr>
        <w:t>l</w:t>
      </w:r>
      <w:r w:rsidR="00CA2A57" w:rsidRPr="009423EA">
        <w:rPr>
          <w:rFonts w:ascii="Calibri" w:eastAsia="Calibri" w:hAnsi="Calibri" w:cs="Times New Roman"/>
          <w:color w:val="000000" w:themeColor="text1"/>
          <w:sz w:val="22"/>
          <w:szCs w:val="22"/>
          <w:lang w:val="es-AR" w:eastAsia="en-US"/>
        </w:rPr>
        <w:t xml:space="preserve"> 2022 el NG resultó SUPERIOR a lo esperado en las conjeturas previas.</w:t>
      </w:r>
      <w:r w:rsidR="00F045F5" w:rsidRPr="009423EA">
        <w:rPr>
          <w:rFonts w:ascii="Calibri" w:eastAsia="Calibri" w:hAnsi="Calibri" w:cs="Times New Roman"/>
          <w:color w:val="000000" w:themeColor="text1"/>
          <w:sz w:val="22"/>
          <w:szCs w:val="22"/>
          <w:lang w:val="es-AR" w:eastAsia="en-US"/>
        </w:rPr>
        <w:t xml:space="preserve"> </w:t>
      </w:r>
      <w:r w:rsidR="00CA2A57" w:rsidRPr="009423EA">
        <w:rPr>
          <w:rFonts w:ascii="Calibri" w:eastAsia="Calibri" w:hAnsi="Calibri" w:cs="Times New Roman"/>
          <w:bCs/>
          <w:color w:val="000000" w:themeColor="text1"/>
          <w:sz w:val="22"/>
          <w:szCs w:val="22"/>
          <w:lang w:val="es-AR" w:eastAsia="en-US"/>
        </w:rPr>
        <w:t xml:space="preserve">El Nivel General oscila entre </w:t>
      </w:r>
      <w:r w:rsidRPr="009423EA">
        <w:rPr>
          <w:rFonts w:ascii="Calibri" w:eastAsia="Calibri" w:hAnsi="Calibri" w:cs="Times New Roman"/>
          <w:bCs/>
          <w:color w:val="000000" w:themeColor="text1"/>
          <w:sz w:val="22"/>
          <w:szCs w:val="22"/>
          <w:lang w:val="es-AR" w:eastAsia="en-US"/>
        </w:rPr>
        <w:t xml:space="preserve">el </w:t>
      </w:r>
      <w:r w:rsidR="00CA2A57" w:rsidRPr="009423EA">
        <w:rPr>
          <w:rFonts w:ascii="Calibri" w:eastAsia="Calibri" w:hAnsi="Calibri" w:cs="Times New Roman"/>
          <w:bCs/>
          <w:color w:val="000000" w:themeColor="text1"/>
          <w:sz w:val="22"/>
          <w:szCs w:val="22"/>
          <w:lang w:val="es-AR" w:eastAsia="en-US"/>
        </w:rPr>
        <w:t xml:space="preserve">4.9 % para Santa Fe;  </w:t>
      </w:r>
      <w:r w:rsidRPr="009423EA">
        <w:rPr>
          <w:rFonts w:ascii="Calibri" w:eastAsia="Calibri" w:hAnsi="Calibri" w:cs="Times New Roman"/>
          <w:bCs/>
          <w:color w:val="000000" w:themeColor="text1"/>
          <w:sz w:val="22"/>
          <w:szCs w:val="22"/>
          <w:lang w:val="es-AR" w:eastAsia="en-US"/>
        </w:rPr>
        <w:t xml:space="preserve">el </w:t>
      </w:r>
      <w:r w:rsidR="00CA2A57" w:rsidRPr="009423EA">
        <w:rPr>
          <w:rFonts w:ascii="Calibri" w:eastAsia="Calibri" w:hAnsi="Calibri" w:cs="Times New Roman"/>
          <w:bCs/>
          <w:color w:val="000000" w:themeColor="text1"/>
          <w:sz w:val="22"/>
          <w:szCs w:val="22"/>
          <w:lang w:val="es-AR" w:eastAsia="en-US"/>
        </w:rPr>
        <w:t xml:space="preserve">4.7 % para </w:t>
      </w:r>
      <w:r w:rsidRPr="009423EA">
        <w:rPr>
          <w:rFonts w:ascii="Calibri" w:eastAsia="Calibri" w:hAnsi="Calibri" w:cs="Times New Roman"/>
          <w:bCs/>
          <w:color w:val="000000" w:themeColor="text1"/>
          <w:sz w:val="22"/>
          <w:szCs w:val="22"/>
          <w:lang w:val="es-AR" w:eastAsia="en-US"/>
        </w:rPr>
        <w:t xml:space="preserve">el </w:t>
      </w:r>
      <w:r w:rsidR="00CA2A57" w:rsidRPr="009423EA">
        <w:rPr>
          <w:rFonts w:ascii="Calibri" w:eastAsia="Calibri" w:hAnsi="Calibri" w:cs="Times New Roman"/>
          <w:bCs/>
          <w:color w:val="000000" w:themeColor="text1"/>
          <w:sz w:val="22"/>
          <w:szCs w:val="22"/>
          <w:lang w:val="es-AR" w:eastAsia="en-US"/>
        </w:rPr>
        <w:t xml:space="preserve">Indec; </w:t>
      </w:r>
      <w:r w:rsidRPr="009423EA">
        <w:rPr>
          <w:rFonts w:ascii="Calibri" w:eastAsia="Calibri" w:hAnsi="Calibri" w:cs="Times New Roman"/>
          <w:bCs/>
          <w:color w:val="000000" w:themeColor="text1"/>
          <w:sz w:val="22"/>
          <w:szCs w:val="22"/>
          <w:lang w:val="es-AR" w:eastAsia="en-US"/>
        </w:rPr>
        <w:t xml:space="preserve">el </w:t>
      </w:r>
      <w:r w:rsidR="00CA2A57" w:rsidRPr="009423EA">
        <w:rPr>
          <w:rFonts w:ascii="Calibri" w:eastAsia="Calibri" w:hAnsi="Calibri" w:cs="Times New Roman"/>
          <w:bCs/>
          <w:color w:val="000000" w:themeColor="text1"/>
          <w:sz w:val="22"/>
          <w:szCs w:val="22"/>
          <w:lang w:val="es-AR" w:eastAsia="en-US"/>
        </w:rPr>
        <w:t>4.1 % para Ciudad de Bs As;</w:t>
      </w:r>
      <w:r w:rsidRPr="009423EA">
        <w:rPr>
          <w:rFonts w:ascii="Calibri" w:eastAsia="Calibri" w:hAnsi="Calibri" w:cs="Times New Roman"/>
          <w:bCs/>
          <w:color w:val="000000" w:themeColor="text1"/>
          <w:sz w:val="22"/>
          <w:szCs w:val="22"/>
          <w:lang w:val="es-AR" w:eastAsia="en-US"/>
        </w:rPr>
        <w:t xml:space="preserve"> el </w:t>
      </w:r>
      <w:r w:rsidR="00CA2A57" w:rsidRPr="009423EA">
        <w:rPr>
          <w:rFonts w:ascii="Calibri" w:eastAsia="Calibri" w:hAnsi="Calibri" w:cs="Times New Roman"/>
          <w:bCs/>
          <w:color w:val="000000" w:themeColor="text1"/>
          <w:sz w:val="22"/>
          <w:szCs w:val="22"/>
          <w:lang w:val="es-AR" w:eastAsia="en-US"/>
        </w:rPr>
        <w:t xml:space="preserve">4.7 % para Córdoba; </w:t>
      </w:r>
      <w:r w:rsidRPr="009423EA">
        <w:rPr>
          <w:rFonts w:ascii="Calibri" w:eastAsia="Calibri" w:hAnsi="Calibri" w:cs="Times New Roman"/>
          <w:bCs/>
          <w:color w:val="000000" w:themeColor="text1"/>
          <w:sz w:val="22"/>
          <w:szCs w:val="22"/>
          <w:lang w:val="es-AR" w:eastAsia="en-US"/>
        </w:rPr>
        <w:t>el 5.9  % para San Luis, y el</w:t>
      </w:r>
      <w:r w:rsidR="00CA2A57" w:rsidRPr="009423EA">
        <w:rPr>
          <w:rFonts w:ascii="Calibri" w:eastAsia="Calibri" w:hAnsi="Calibri" w:cs="Times New Roman"/>
          <w:bCs/>
          <w:color w:val="000000" w:themeColor="text1"/>
          <w:sz w:val="22"/>
          <w:szCs w:val="22"/>
          <w:lang w:val="es-AR" w:eastAsia="en-US"/>
        </w:rPr>
        <w:t xml:space="preserve"> 4.6 % para Mendoza. Valores muy similares y elevados.</w:t>
      </w:r>
    </w:p>
    <w:p w14:paraId="344EDBF1" w14:textId="4FD29D41"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Los aumentos del mes en el Nivel General se concentraron en diversos rubros: alimentos, transporte y comunicaciones y vivienda y servicios </w:t>
      </w:r>
      <w:r w:rsidR="00BA3611" w:rsidRPr="009423EA">
        <w:rPr>
          <w:rFonts w:ascii="Calibri" w:eastAsia="Calibri" w:hAnsi="Calibri" w:cs="Times New Roman"/>
          <w:color w:val="000000" w:themeColor="text1"/>
          <w:sz w:val="22"/>
          <w:szCs w:val="22"/>
          <w:lang w:val="es-AR" w:eastAsia="en-US"/>
        </w:rPr>
        <w:t>básicos</w:t>
      </w:r>
      <w:r w:rsidRPr="009423EA">
        <w:rPr>
          <w:rFonts w:ascii="Calibri" w:eastAsia="Calibri" w:hAnsi="Calibri" w:cs="Times New Roman"/>
          <w:color w:val="000000" w:themeColor="text1"/>
          <w:sz w:val="22"/>
          <w:szCs w:val="22"/>
          <w:lang w:val="es-AR" w:eastAsia="en-US"/>
        </w:rPr>
        <w:t xml:space="preserve">. ¿Qué ocurrirá finalmente en los </w:t>
      </w:r>
      <w:r w:rsidR="00BA3611" w:rsidRPr="009423EA">
        <w:rPr>
          <w:rFonts w:ascii="Calibri" w:eastAsia="Calibri" w:hAnsi="Calibri" w:cs="Times New Roman"/>
          <w:color w:val="000000" w:themeColor="text1"/>
          <w:sz w:val="22"/>
          <w:szCs w:val="22"/>
          <w:lang w:val="es-AR" w:eastAsia="en-US"/>
        </w:rPr>
        <w:t>próximos</w:t>
      </w:r>
      <w:r w:rsidRPr="009423EA">
        <w:rPr>
          <w:rFonts w:ascii="Calibri" w:eastAsia="Calibri" w:hAnsi="Calibri" w:cs="Times New Roman"/>
          <w:color w:val="000000" w:themeColor="text1"/>
          <w:sz w:val="22"/>
          <w:szCs w:val="22"/>
          <w:lang w:val="es-AR" w:eastAsia="en-US"/>
        </w:rPr>
        <w:t xml:space="preserve"> meses? Queda claro que los precios están nerviosos. Ahora </w:t>
      </w:r>
      <w:r w:rsidR="003A5CBE" w:rsidRPr="009423EA">
        <w:rPr>
          <w:rFonts w:ascii="Calibri" w:eastAsia="Calibri" w:hAnsi="Calibri" w:cs="Times New Roman"/>
          <w:color w:val="000000" w:themeColor="text1"/>
          <w:sz w:val="22"/>
          <w:szCs w:val="22"/>
          <w:lang w:val="es-AR" w:eastAsia="en-US"/>
        </w:rPr>
        <w:t>rondan</w:t>
      </w:r>
      <w:r w:rsidRPr="009423EA">
        <w:rPr>
          <w:rFonts w:ascii="Calibri" w:eastAsia="Calibri" w:hAnsi="Calibri" w:cs="Times New Roman"/>
          <w:color w:val="000000" w:themeColor="text1"/>
          <w:sz w:val="22"/>
          <w:szCs w:val="22"/>
          <w:lang w:val="es-AR" w:eastAsia="en-US"/>
        </w:rPr>
        <w:t xml:space="preserve"> el</w:t>
      </w:r>
      <w:r w:rsidR="003A5CBE" w:rsidRPr="009423EA">
        <w:rPr>
          <w:rFonts w:ascii="Calibri" w:eastAsia="Calibri" w:hAnsi="Calibri" w:cs="Times New Roman"/>
          <w:color w:val="000000" w:themeColor="text1"/>
          <w:sz w:val="22"/>
          <w:szCs w:val="22"/>
          <w:lang w:val="es-AR" w:eastAsia="en-US"/>
        </w:rPr>
        <w:t xml:space="preserve"> 4.8 %. N</w:t>
      </w:r>
      <w:r w:rsidRPr="009423EA">
        <w:rPr>
          <w:rFonts w:ascii="Calibri" w:eastAsia="Calibri" w:hAnsi="Calibri" w:cs="Times New Roman"/>
          <w:color w:val="000000" w:themeColor="text1"/>
          <w:sz w:val="22"/>
          <w:szCs w:val="22"/>
          <w:lang w:val="es-AR" w:eastAsia="en-US"/>
        </w:rPr>
        <w:t>o es poco</w:t>
      </w:r>
      <w:r w:rsidR="003A5CBE"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aun con el dólar pisado y servicios controlados. Pocas diferencias en Provincias. </w:t>
      </w:r>
    </w:p>
    <w:p w14:paraId="6D0843F7" w14:textId="28EFD0E2" w:rsidR="006B2FBD" w:rsidRPr="009423EA" w:rsidRDefault="004C496D" w:rsidP="00E91E95">
      <w:pPr>
        <w:spacing w:after="160" w:line="259" w:lineRule="auto"/>
        <w:jc w:val="both"/>
        <w:rPr>
          <w:rFonts w:ascii="Calibri" w:eastAsia="Calibri" w:hAnsi="Calibri" w:cs="Times New Roman"/>
          <w:color w:val="000000" w:themeColor="text1"/>
          <w:sz w:val="22"/>
          <w:szCs w:val="22"/>
          <w:lang w:val="es-AR" w:eastAsia="en-US"/>
        </w:rPr>
      </w:pPr>
      <w:r>
        <w:rPr>
          <w:rFonts w:ascii="Calibri" w:eastAsia="Calibri" w:hAnsi="Calibri" w:cs="Times New Roman"/>
          <w:noProof/>
          <w:color w:val="000000" w:themeColor="text1"/>
          <w:sz w:val="22"/>
          <w:szCs w:val="22"/>
          <w:lang w:val="es-AR" w:eastAsia="es-AR"/>
        </w:rPr>
        <w:lastRenderedPageBreak/>
        <w:drawing>
          <wp:inline distT="0" distB="0" distL="0" distR="0" wp14:anchorId="1C1BB697" wp14:editId="16E7989C">
            <wp:extent cx="4464000" cy="32406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000" cy="3240678"/>
                    </a:xfrm>
                    <a:prstGeom prst="rect">
                      <a:avLst/>
                    </a:prstGeom>
                    <a:noFill/>
                  </pic:spPr>
                </pic:pic>
              </a:graphicData>
            </a:graphic>
          </wp:inline>
        </w:drawing>
      </w:r>
    </w:p>
    <w:p w14:paraId="52FF2DB1" w14:textId="413A9CA9" w:rsidR="0086039A" w:rsidRPr="009423EA" w:rsidRDefault="0086039A" w:rsidP="00E91E95">
      <w:pPr>
        <w:spacing w:after="160" w:line="259" w:lineRule="auto"/>
        <w:jc w:val="both"/>
        <w:rPr>
          <w:rFonts w:ascii="Calibri" w:eastAsia="Calibri" w:hAnsi="Calibri" w:cs="Times New Roman"/>
          <w:b/>
          <w:bCs/>
          <w:color w:val="1F497D" w:themeColor="text2"/>
          <w:sz w:val="28"/>
          <w:szCs w:val="28"/>
          <w:lang w:val="es-AR" w:eastAsia="en-US"/>
        </w:rPr>
      </w:pPr>
      <w:r w:rsidRPr="009423EA">
        <w:rPr>
          <w:rFonts w:ascii="Calibri" w:eastAsia="Calibri" w:hAnsi="Calibri" w:cs="Times New Roman"/>
          <w:b/>
          <w:bCs/>
          <w:color w:val="1F497D" w:themeColor="text2"/>
          <w:sz w:val="28"/>
          <w:szCs w:val="28"/>
          <w:lang w:val="es-AR" w:eastAsia="en-US"/>
        </w:rPr>
        <w:t>¿Alimentos y Bebidas en el mes?</w:t>
      </w:r>
    </w:p>
    <w:p w14:paraId="758EAF14" w14:textId="1061E7D9"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Alimentos siempre mantiene aumentos, y eso altera los ánimos y exaspera los bolsillos. Pero en este mes Alimentos fue superior al Nivel General rompiendo antiguas marcas.</w:t>
      </w:r>
      <w:r w:rsidR="00F045F5"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No se observan grandes diferencias en los aumentos de componentes del Capítulo  en el agregado final que dan cuenta los </w:t>
      </w:r>
      <w:r w:rsidR="00042665" w:rsidRPr="009423EA">
        <w:rPr>
          <w:rFonts w:ascii="Calibri" w:eastAsia="Calibri" w:hAnsi="Calibri" w:cs="Times New Roman"/>
          <w:bCs/>
          <w:color w:val="000000" w:themeColor="text1"/>
          <w:sz w:val="22"/>
          <w:szCs w:val="22"/>
          <w:lang w:val="es-AR" w:eastAsia="en-US"/>
        </w:rPr>
        <w:t>o</w:t>
      </w:r>
      <w:r w:rsidRPr="009423EA">
        <w:rPr>
          <w:rFonts w:ascii="Calibri" w:eastAsia="Calibri" w:hAnsi="Calibri" w:cs="Times New Roman"/>
          <w:bCs/>
          <w:color w:val="000000" w:themeColor="text1"/>
          <w:sz w:val="22"/>
          <w:szCs w:val="22"/>
          <w:lang w:val="es-AR" w:eastAsia="en-US"/>
        </w:rPr>
        <w:t>rganismos de Estadística.</w:t>
      </w:r>
    </w:p>
    <w:p w14:paraId="04144201" w14:textId="53523987"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No obstante en </w:t>
      </w:r>
      <w:r w:rsidRPr="009423EA">
        <w:rPr>
          <w:rFonts w:ascii="Calibri" w:eastAsia="Calibri" w:hAnsi="Calibri" w:cs="Times New Roman"/>
          <w:b/>
          <w:bCs/>
          <w:color w:val="000000" w:themeColor="text1"/>
          <w:sz w:val="22"/>
          <w:szCs w:val="22"/>
          <w:lang w:val="es-AR" w:eastAsia="en-US"/>
        </w:rPr>
        <w:t xml:space="preserve">el mes de 2022 </w:t>
      </w:r>
      <w:r w:rsidRPr="009423EA">
        <w:rPr>
          <w:rFonts w:ascii="Calibri" w:eastAsia="Calibri" w:hAnsi="Calibri" w:cs="Times New Roman"/>
          <w:bCs/>
          <w:color w:val="000000" w:themeColor="text1"/>
          <w:sz w:val="22"/>
          <w:szCs w:val="22"/>
          <w:lang w:val="es-AR" w:eastAsia="en-US"/>
        </w:rPr>
        <w:t>los valores del Indec y Ciudad de Buenos Aires y Provincias observan algunas dispersiones</w:t>
      </w:r>
      <w:r w:rsidR="00F7593D"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pero volando en las alturas. A pesar de los precios cuidados ampliados y otras medidas</w:t>
      </w:r>
      <w:r w:rsidR="00F7593D" w:rsidRPr="009423EA">
        <w:rPr>
          <w:rFonts w:ascii="Calibri" w:eastAsia="Calibri" w:hAnsi="Calibri" w:cs="Times New Roman"/>
          <w:bCs/>
          <w:color w:val="000000" w:themeColor="text1"/>
          <w:sz w:val="22"/>
          <w:szCs w:val="22"/>
          <w:lang w:val="es-AR" w:eastAsia="en-US"/>
        </w:rPr>
        <w:t>, ¿s</w:t>
      </w:r>
      <w:r w:rsidRPr="009423EA">
        <w:rPr>
          <w:rFonts w:ascii="Calibri" w:eastAsia="Calibri" w:hAnsi="Calibri" w:cs="Times New Roman"/>
          <w:bCs/>
          <w:color w:val="000000" w:themeColor="text1"/>
          <w:sz w:val="22"/>
          <w:szCs w:val="22"/>
          <w:lang w:val="es-AR" w:eastAsia="en-US"/>
        </w:rPr>
        <w:t>e puede presumir que los aumentos futuros serán "bastante" similares si se impone la inercia actual?</w:t>
      </w:r>
      <w:r w:rsidR="00F7593D"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Se verá en los meses siguientes el impacto de la </w:t>
      </w:r>
      <w:r w:rsidR="00BA3611" w:rsidRPr="009423EA">
        <w:rPr>
          <w:rFonts w:ascii="Calibri" w:eastAsia="Calibri" w:hAnsi="Calibri" w:cs="Times New Roman"/>
          <w:bCs/>
          <w:color w:val="000000" w:themeColor="text1"/>
          <w:sz w:val="22"/>
          <w:szCs w:val="22"/>
          <w:lang w:val="es-AR" w:eastAsia="en-US"/>
        </w:rPr>
        <w:t>política</w:t>
      </w:r>
      <w:r w:rsidRPr="009423EA">
        <w:rPr>
          <w:rFonts w:ascii="Calibri" w:eastAsia="Calibri" w:hAnsi="Calibri" w:cs="Times New Roman"/>
          <w:bCs/>
          <w:color w:val="000000" w:themeColor="text1"/>
          <w:sz w:val="22"/>
          <w:szCs w:val="22"/>
          <w:lang w:val="es-AR" w:eastAsia="en-US"/>
        </w:rPr>
        <w:t xml:space="preserve"> de precios y los cambios que se puedan </w:t>
      </w:r>
      <w:r w:rsidR="00BA3611" w:rsidRPr="009423EA">
        <w:rPr>
          <w:rFonts w:ascii="Calibri" w:eastAsia="Calibri" w:hAnsi="Calibri" w:cs="Times New Roman"/>
          <w:bCs/>
          <w:color w:val="000000" w:themeColor="text1"/>
          <w:sz w:val="22"/>
          <w:szCs w:val="22"/>
          <w:lang w:val="es-AR" w:eastAsia="en-US"/>
        </w:rPr>
        <w:t>introducir</w:t>
      </w:r>
      <w:r w:rsidRPr="009423EA">
        <w:rPr>
          <w:rFonts w:ascii="Calibri" w:eastAsia="Calibri" w:hAnsi="Calibri" w:cs="Times New Roman"/>
          <w:bCs/>
          <w:color w:val="000000" w:themeColor="text1"/>
          <w:sz w:val="22"/>
          <w:szCs w:val="22"/>
          <w:lang w:val="es-AR" w:eastAsia="en-US"/>
        </w:rPr>
        <w:t>.</w:t>
      </w:r>
    </w:p>
    <w:p w14:paraId="1834D03F" w14:textId="1475CF48"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Las razones para que ocurra lo que denominamos inercia son múltiples, dólar, logística, y otros, pero como existe alta volatilidad algunos precios se adelantan y se anticipan a otros, que luego los siguen. Veremos.</w:t>
      </w:r>
    </w:p>
    <w:p w14:paraId="3D25B6FC" w14:textId="07E9F3B1"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Los principales aumentos del Capítulo Alimentos fueron frutas, verduras, pan, carnes, </w:t>
      </w:r>
      <w:r w:rsidR="00BA3611" w:rsidRPr="009423EA">
        <w:rPr>
          <w:rFonts w:ascii="Calibri" w:eastAsia="Calibri" w:hAnsi="Calibri" w:cs="Times New Roman"/>
          <w:bCs/>
          <w:color w:val="000000" w:themeColor="text1"/>
          <w:sz w:val="22"/>
          <w:szCs w:val="22"/>
          <w:lang w:val="es-AR" w:eastAsia="en-US"/>
        </w:rPr>
        <w:t>lácteos</w:t>
      </w:r>
      <w:r w:rsidRPr="009423EA">
        <w:rPr>
          <w:rFonts w:ascii="Calibri" w:eastAsia="Calibri" w:hAnsi="Calibri" w:cs="Times New Roman"/>
          <w:bCs/>
          <w:color w:val="000000" w:themeColor="text1"/>
          <w:sz w:val="22"/>
          <w:szCs w:val="22"/>
          <w:lang w:val="es-AR" w:eastAsia="en-US"/>
        </w:rPr>
        <w:t xml:space="preserve">, pescados, pan, huevos, cervezas y otros productos que incrementaron precios por encima del promedio del Capítulo. El gráfico tiene el valor de presentar las comparaciones de iguales meses de años anteriores. </w:t>
      </w:r>
    </w:p>
    <w:p w14:paraId="6AE9C0EE" w14:textId="59FA7536"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En la memoria </w:t>
      </w:r>
      <w:r w:rsidR="00F7593D" w:rsidRPr="009423EA">
        <w:rPr>
          <w:rFonts w:ascii="Calibri" w:eastAsia="Calibri" w:hAnsi="Calibri" w:cs="Times New Roman"/>
          <w:bCs/>
          <w:color w:val="000000" w:themeColor="text1"/>
          <w:sz w:val="22"/>
          <w:szCs w:val="22"/>
          <w:lang w:val="es-AR" w:eastAsia="en-US"/>
        </w:rPr>
        <w:t xml:space="preserve">queda </w:t>
      </w:r>
      <w:r w:rsidRPr="009423EA">
        <w:rPr>
          <w:rFonts w:ascii="Calibri" w:eastAsia="Calibri" w:hAnsi="Calibri" w:cs="Times New Roman"/>
          <w:bCs/>
          <w:color w:val="000000" w:themeColor="text1"/>
          <w:sz w:val="22"/>
          <w:szCs w:val="22"/>
          <w:lang w:val="es-AR" w:eastAsia="en-US"/>
        </w:rPr>
        <w:t>lo ocurrido en febrero de</w:t>
      </w:r>
      <w:r w:rsidR="00F7593D" w:rsidRPr="009423EA">
        <w:rPr>
          <w:rFonts w:ascii="Calibri" w:eastAsia="Calibri" w:hAnsi="Calibri" w:cs="Times New Roman"/>
          <w:bCs/>
          <w:color w:val="000000" w:themeColor="text1"/>
          <w:sz w:val="22"/>
          <w:szCs w:val="22"/>
          <w:lang w:val="es-AR" w:eastAsia="en-US"/>
        </w:rPr>
        <w:t xml:space="preserve"> 2014 y 2019. E</w:t>
      </w:r>
      <w:r w:rsidRPr="009423EA">
        <w:rPr>
          <w:rFonts w:ascii="Calibri" w:eastAsia="Calibri" w:hAnsi="Calibri" w:cs="Times New Roman"/>
          <w:bCs/>
          <w:color w:val="000000" w:themeColor="text1"/>
          <w:sz w:val="22"/>
          <w:szCs w:val="22"/>
          <w:lang w:val="es-AR" w:eastAsia="en-US"/>
        </w:rPr>
        <w:t>so desarm</w:t>
      </w:r>
      <w:r w:rsidR="00F7593D" w:rsidRPr="009423EA">
        <w:rPr>
          <w:rFonts w:ascii="Calibri" w:eastAsia="Calibri" w:hAnsi="Calibri" w:cs="Times New Roman"/>
          <w:bCs/>
          <w:color w:val="000000" w:themeColor="text1"/>
          <w:sz w:val="22"/>
          <w:szCs w:val="22"/>
          <w:lang w:val="es-AR" w:eastAsia="en-US"/>
        </w:rPr>
        <w:t>ó</w:t>
      </w:r>
      <w:r w:rsidRPr="009423EA">
        <w:rPr>
          <w:rFonts w:ascii="Calibri" w:eastAsia="Calibri" w:hAnsi="Calibri" w:cs="Times New Roman"/>
          <w:bCs/>
          <w:color w:val="000000" w:themeColor="text1"/>
          <w:sz w:val="22"/>
          <w:szCs w:val="22"/>
          <w:lang w:val="es-AR" w:eastAsia="en-US"/>
        </w:rPr>
        <w:t xml:space="preserve"> la confianza de muchos</w:t>
      </w:r>
      <w:r w:rsidR="00F7593D" w:rsidRPr="009423EA">
        <w:rPr>
          <w:rFonts w:ascii="Calibri" w:eastAsia="Calibri" w:hAnsi="Calibri" w:cs="Times New Roman"/>
          <w:bCs/>
          <w:color w:val="000000" w:themeColor="text1"/>
          <w:sz w:val="22"/>
          <w:szCs w:val="22"/>
          <w:lang w:val="es-AR" w:eastAsia="en-US"/>
        </w:rPr>
        <w:t>. S</w:t>
      </w:r>
      <w:r w:rsidRPr="009423EA">
        <w:rPr>
          <w:rFonts w:ascii="Calibri" w:eastAsia="Calibri" w:hAnsi="Calibri" w:cs="Times New Roman"/>
          <w:bCs/>
          <w:color w:val="000000" w:themeColor="text1"/>
          <w:sz w:val="22"/>
          <w:szCs w:val="22"/>
          <w:lang w:val="es-AR" w:eastAsia="en-US"/>
        </w:rPr>
        <w:t>e puede adjudicar a la devaluación</w:t>
      </w:r>
      <w:r w:rsidR="00F7593D"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por lo menos </w:t>
      </w:r>
      <w:r w:rsidR="00F7593D" w:rsidRPr="009423EA">
        <w:rPr>
          <w:rFonts w:ascii="Calibri" w:eastAsia="Calibri" w:hAnsi="Calibri" w:cs="Times New Roman"/>
          <w:bCs/>
          <w:color w:val="000000" w:themeColor="text1"/>
          <w:sz w:val="22"/>
          <w:szCs w:val="22"/>
          <w:lang w:val="es-AR" w:eastAsia="en-US"/>
        </w:rPr>
        <w:t xml:space="preserve">en </w:t>
      </w:r>
      <w:r w:rsidRPr="009423EA">
        <w:rPr>
          <w:rFonts w:ascii="Calibri" w:eastAsia="Calibri" w:hAnsi="Calibri" w:cs="Times New Roman"/>
          <w:bCs/>
          <w:color w:val="000000" w:themeColor="text1"/>
          <w:sz w:val="22"/>
          <w:szCs w:val="22"/>
          <w:lang w:val="es-AR" w:eastAsia="en-US"/>
        </w:rPr>
        <w:t xml:space="preserve">febrero </w:t>
      </w:r>
      <w:r w:rsidR="00F7593D" w:rsidRPr="009423EA">
        <w:rPr>
          <w:rFonts w:ascii="Calibri" w:eastAsia="Calibri" w:hAnsi="Calibri" w:cs="Times New Roman"/>
          <w:bCs/>
          <w:color w:val="000000" w:themeColor="text1"/>
          <w:sz w:val="22"/>
          <w:szCs w:val="22"/>
          <w:lang w:val="es-AR" w:eastAsia="en-US"/>
        </w:rPr>
        <w:t xml:space="preserve">de </w:t>
      </w:r>
      <w:r w:rsidRPr="009423EA">
        <w:rPr>
          <w:rFonts w:ascii="Calibri" w:eastAsia="Calibri" w:hAnsi="Calibri" w:cs="Times New Roman"/>
          <w:bCs/>
          <w:color w:val="000000" w:themeColor="text1"/>
          <w:sz w:val="22"/>
          <w:szCs w:val="22"/>
          <w:lang w:val="es-AR" w:eastAsia="en-US"/>
        </w:rPr>
        <w:t>2014</w:t>
      </w:r>
      <w:r w:rsidR="00F7593D" w:rsidRPr="009423EA">
        <w:rPr>
          <w:rFonts w:ascii="Calibri" w:eastAsia="Calibri" w:hAnsi="Calibri" w:cs="Times New Roman"/>
          <w:bCs/>
          <w:color w:val="000000" w:themeColor="text1"/>
          <w:sz w:val="22"/>
          <w:szCs w:val="22"/>
          <w:lang w:val="es-AR" w:eastAsia="en-US"/>
        </w:rPr>
        <w:t xml:space="preserve">. En </w:t>
      </w:r>
      <w:r w:rsidRPr="009423EA">
        <w:rPr>
          <w:rFonts w:ascii="Calibri" w:eastAsia="Calibri" w:hAnsi="Calibri" w:cs="Times New Roman"/>
          <w:bCs/>
          <w:color w:val="000000" w:themeColor="text1"/>
          <w:sz w:val="22"/>
          <w:szCs w:val="22"/>
          <w:lang w:val="es-AR" w:eastAsia="en-US"/>
        </w:rPr>
        <w:t xml:space="preserve">el </w:t>
      </w:r>
      <w:r w:rsidR="00F7593D" w:rsidRPr="009423EA">
        <w:rPr>
          <w:rFonts w:ascii="Calibri" w:eastAsia="Calibri" w:hAnsi="Calibri" w:cs="Times New Roman"/>
          <w:bCs/>
          <w:color w:val="000000" w:themeColor="text1"/>
          <w:sz w:val="22"/>
          <w:szCs w:val="22"/>
          <w:lang w:val="es-AR" w:eastAsia="en-US"/>
        </w:rPr>
        <w:t>mism</w:t>
      </w:r>
      <w:r w:rsidRPr="009423EA">
        <w:rPr>
          <w:rFonts w:ascii="Calibri" w:eastAsia="Calibri" w:hAnsi="Calibri" w:cs="Times New Roman"/>
          <w:bCs/>
          <w:color w:val="000000" w:themeColor="text1"/>
          <w:sz w:val="22"/>
          <w:szCs w:val="22"/>
          <w:lang w:val="es-AR" w:eastAsia="en-US"/>
        </w:rPr>
        <w:t>o</w:t>
      </w:r>
      <w:r w:rsidR="00F7593D" w:rsidRPr="009423EA">
        <w:rPr>
          <w:rFonts w:ascii="Calibri" w:eastAsia="Calibri" w:hAnsi="Calibri" w:cs="Times New Roman"/>
          <w:bCs/>
          <w:color w:val="000000" w:themeColor="text1"/>
          <w:sz w:val="22"/>
          <w:szCs w:val="22"/>
          <w:lang w:val="es-AR" w:eastAsia="en-US"/>
        </w:rPr>
        <w:t xml:space="preserve"> mes </w:t>
      </w:r>
      <w:r w:rsidRPr="009423EA">
        <w:rPr>
          <w:rFonts w:ascii="Calibri" w:eastAsia="Calibri" w:hAnsi="Calibri" w:cs="Times New Roman"/>
          <w:bCs/>
          <w:color w:val="000000" w:themeColor="text1"/>
          <w:sz w:val="22"/>
          <w:szCs w:val="22"/>
          <w:lang w:val="es-AR" w:eastAsia="en-US"/>
        </w:rPr>
        <w:t>del 2019</w:t>
      </w:r>
      <w:r w:rsidR="00F7593D" w:rsidRPr="009423EA">
        <w:rPr>
          <w:rFonts w:ascii="Calibri" w:eastAsia="Calibri" w:hAnsi="Calibri" w:cs="Times New Roman"/>
          <w:bCs/>
          <w:color w:val="000000" w:themeColor="text1"/>
          <w:sz w:val="22"/>
          <w:szCs w:val="22"/>
          <w:lang w:val="es-AR" w:eastAsia="en-US"/>
        </w:rPr>
        <w:t xml:space="preserve"> hubo otras causas y parcialmente e</w:t>
      </w:r>
      <w:r w:rsidRPr="009423EA">
        <w:rPr>
          <w:rFonts w:ascii="Calibri" w:eastAsia="Calibri" w:hAnsi="Calibri" w:cs="Times New Roman"/>
          <w:bCs/>
          <w:color w:val="000000" w:themeColor="text1"/>
          <w:sz w:val="22"/>
          <w:szCs w:val="22"/>
          <w:lang w:val="es-AR" w:eastAsia="en-US"/>
        </w:rPr>
        <w:t>l dólar.</w:t>
      </w:r>
    </w:p>
    <w:p w14:paraId="354BFFEC" w14:textId="39E66A73" w:rsidR="00194852" w:rsidRPr="009423EA" w:rsidRDefault="00052BF6" w:rsidP="00E91E95">
      <w:pPr>
        <w:spacing w:after="160" w:line="259" w:lineRule="auto"/>
        <w:jc w:val="both"/>
        <w:rPr>
          <w:rFonts w:ascii="Calibri" w:eastAsia="Calibri" w:hAnsi="Calibri" w:cs="Times New Roman"/>
          <w:bCs/>
          <w:color w:val="000000" w:themeColor="text1"/>
          <w:sz w:val="22"/>
          <w:szCs w:val="22"/>
          <w:lang w:val="es-AR" w:eastAsia="en-US"/>
        </w:rPr>
      </w:pPr>
      <w:r>
        <w:rPr>
          <w:rFonts w:ascii="Calibri" w:eastAsia="Calibri" w:hAnsi="Calibri" w:cs="Times New Roman"/>
          <w:bCs/>
          <w:noProof/>
          <w:color w:val="000000" w:themeColor="text1"/>
          <w:sz w:val="22"/>
          <w:szCs w:val="22"/>
          <w:lang w:val="es-AR" w:eastAsia="es-AR"/>
        </w:rPr>
        <w:lastRenderedPageBreak/>
        <w:drawing>
          <wp:inline distT="0" distB="0" distL="0" distR="0" wp14:anchorId="25F80306" wp14:editId="62AE1CC3">
            <wp:extent cx="4464000" cy="32406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000" cy="3240678"/>
                    </a:xfrm>
                    <a:prstGeom prst="rect">
                      <a:avLst/>
                    </a:prstGeom>
                    <a:noFill/>
                  </pic:spPr>
                </pic:pic>
              </a:graphicData>
            </a:graphic>
          </wp:inline>
        </w:drawing>
      </w:r>
    </w:p>
    <w:p w14:paraId="6F01F9C1" w14:textId="7ACDC172" w:rsidR="00945873" w:rsidRPr="009423EA" w:rsidRDefault="0086039A" w:rsidP="00945873">
      <w:pPr>
        <w:spacing w:after="160" w:line="259" w:lineRule="auto"/>
        <w:jc w:val="both"/>
        <w:rPr>
          <w:rFonts w:ascii="Calibri" w:eastAsia="Calibri" w:hAnsi="Calibri" w:cs="Times New Roman"/>
          <w:color w:val="1F497D" w:themeColor="text2"/>
          <w:sz w:val="28"/>
          <w:szCs w:val="28"/>
          <w:lang w:val="es-AR" w:eastAsia="en-US"/>
        </w:rPr>
      </w:pPr>
      <w:r w:rsidRPr="009423EA">
        <w:rPr>
          <w:rFonts w:ascii="Calibri" w:eastAsia="Calibri" w:hAnsi="Calibri" w:cs="Times New Roman"/>
          <w:b/>
          <w:color w:val="1F497D" w:themeColor="text2"/>
          <w:sz w:val="28"/>
          <w:szCs w:val="28"/>
          <w:lang w:val="es-AR" w:eastAsia="en-US"/>
        </w:rPr>
        <w:t xml:space="preserve">Comparaciones del Nivel General base 100 = enero </w:t>
      </w:r>
      <w:r w:rsidR="00353033" w:rsidRPr="009423EA">
        <w:rPr>
          <w:rFonts w:ascii="Calibri" w:eastAsia="Calibri" w:hAnsi="Calibri" w:cs="Times New Roman"/>
          <w:b/>
          <w:color w:val="1F497D" w:themeColor="text2"/>
          <w:sz w:val="28"/>
          <w:szCs w:val="28"/>
          <w:lang w:val="es-AR" w:eastAsia="en-US"/>
        </w:rPr>
        <w:t xml:space="preserve">de </w:t>
      </w:r>
      <w:r w:rsidRPr="009423EA">
        <w:rPr>
          <w:rFonts w:ascii="Calibri" w:eastAsia="Calibri" w:hAnsi="Calibri" w:cs="Times New Roman"/>
          <w:b/>
          <w:color w:val="1F497D" w:themeColor="text2"/>
          <w:sz w:val="28"/>
          <w:szCs w:val="28"/>
          <w:lang w:val="es-AR" w:eastAsia="en-US"/>
        </w:rPr>
        <w:t>2014:</w:t>
      </w:r>
      <w:r w:rsidRPr="009423EA">
        <w:rPr>
          <w:rFonts w:ascii="Calibri" w:eastAsia="Calibri" w:hAnsi="Calibri" w:cs="Times New Roman"/>
          <w:color w:val="1F497D" w:themeColor="text2"/>
          <w:sz w:val="28"/>
          <w:szCs w:val="28"/>
          <w:lang w:val="es-AR" w:eastAsia="en-US"/>
        </w:rPr>
        <w:t xml:space="preserve"> </w:t>
      </w:r>
    </w:p>
    <w:p w14:paraId="103F78FE" w14:textId="7D8DCCA8"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Como se puede observar, los recorridos del Nivel General de los IPC analizados son similares. Algo así como que la inflación barre con igual tono y fuerza en todo el país. Nadie se va con su música demasiado lejos ni a otra parte. No podría ser de otra manera</w:t>
      </w:r>
      <w:r w:rsidR="00F7593D" w:rsidRPr="009423EA">
        <w:rPr>
          <w:rFonts w:ascii="Calibri" w:eastAsia="Calibri" w:hAnsi="Calibri" w:cs="Times New Roman"/>
          <w:color w:val="000000" w:themeColor="text1"/>
          <w:sz w:val="22"/>
          <w:szCs w:val="22"/>
          <w:lang w:val="es-AR" w:eastAsia="en-US"/>
        </w:rPr>
        <w:t>. L</w:t>
      </w:r>
      <w:r w:rsidRPr="009423EA">
        <w:rPr>
          <w:rFonts w:ascii="Calibri" w:eastAsia="Calibri" w:hAnsi="Calibri" w:cs="Times New Roman"/>
          <w:color w:val="000000" w:themeColor="text1"/>
          <w:sz w:val="22"/>
          <w:szCs w:val="22"/>
          <w:lang w:val="es-AR" w:eastAsia="en-US"/>
        </w:rPr>
        <w:t xml:space="preserve">as diferencias surgen en algunos servicios con origen en Provincias, como puede ser el agua y </w:t>
      </w:r>
      <w:r w:rsidR="00F7593D" w:rsidRPr="009423EA">
        <w:rPr>
          <w:rFonts w:ascii="Calibri" w:eastAsia="Calibri" w:hAnsi="Calibri" w:cs="Times New Roman"/>
          <w:color w:val="000000" w:themeColor="text1"/>
          <w:sz w:val="22"/>
          <w:szCs w:val="22"/>
          <w:lang w:val="es-AR" w:eastAsia="en-US"/>
        </w:rPr>
        <w:t xml:space="preserve">la </w:t>
      </w:r>
      <w:r w:rsidRPr="009423EA">
        <w:rPr>
          <w:rFonts w:ascii="Calibri" w:eastAsia="Calibri" w:hAnsi="Calibri" w:cs="Times New Roman"/>
          <w:color w:val="000000" w:themeColor="text1"/>
          <w:sz w:val="22"/>
          <w:szCs w:val="22"/>
          <w:lang w:val="es-AR" w:eastAsia="en-US"/>
        </w:rPr>
        <w:t>electricidad, pero no</w:t>
      </w:r>
      <w:r w:rsidR="00F7593D" w:rsidRPr="009423EA">
        <w:rPr>
          <w:rFonts w:ascii="Calibri" w:eastAsia="Calibri" w:hAnsi="Calibri" w:cs="Times New Roman"/>
          <w:color w:val="000000" w:themeColor="text1"/>
          <w:sz w:val="22"/>
          <w:szCs w:val="22"/>
          <w:lang w:val="es-AR" w:eastAsia="en-US"/>
        </w:rPr>
        <w:t xml:space="preserve"> alcanzan a</w:t>
      </w:r>
      <w:r w:rsidRPr="009423EA">
        <w:rPr>
          <w:rFonts w:ascii="Calibri" w:eastAsia="Calibri" w:hAnsi="Calibri" w:cs="Times New Roman"/>
          <w:color w:val="000000" w:themeColor="text1"/>
          <w:sz w:val="22"/>
          <w:szCs w:val="22"/>
          <w:lang w:val="es-AR" w:eastAsia="en-US"/>
        </w:rPr>
        <w:t xml:space="preserve"> cambiar la tónica general. </w:t>
      </w:r>
    </w:p>
    <w:p w14:paraId="6E115BF9" w14:textId="45EDED88"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Da la pauta que la inflación, aun con algunos matices en las canastas de productos considerados, no se desalinea</w:t>
      </w:r>
      <w:r w:rsidR="0028469D"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y el Indec con la cobertura nacional brinda la síntesis necesaria. </w:t>
      </w:r>
    </w:p>
    <w:p w14:paraId="2B024609" w14:textId="0454972E"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Hicimos 100 = enero 2014, un poco para considerar un mayor plazo y observar que la inflación nos persigue tenazmente. Que en este período la inflación haya aumentado el 1.500/1.400 % es parte de una saga siempre presente desde hace muchos años. Pero el problema es que nos acostumbramos a convivir con esta inflación</w:t>
      </w:r>
      <w:r w:rsidR="0028469D" w:rsidRPr="009423EA">
        <w:rPr>
          <w:rFonts w:ascii="Calibri" w:eastAsia="Calibri" w:hAnsi="Calibri" w:cs="Times New Roman"/>
          <w:color w:val="000000" w:themeColor="text1"/>
          <w:sz w:val="22"/>
          <w:szCs w:val="22"/>
          <w:lang w:val="es-AR" w:eastAsia="en-US"/>
        </w:rPr>
        <w:t xml:space="preserve"> alta</w:t>
      </w:r>
      <w:r w:rsidRPr="009423EA">
        <w:rPr>
          <w:rFonts w:ascii="Calibri" w:eastAsia="Calibri" w:hAnsi="Calibri" w:cs="Times New Roman"/>
          <w:color w:val="000000" w:themeColor="text1"/>
          <w:sz w:val="22"/>
          <w:szCs w:val="22"/>
          <w:lang w:val="es-AR" w:eastAsia="en-US"/>
        </w:rPr>
        <w:t xml:space="preserve">, y por lo visto no aparece ningún antídoto serio. </w:t>
      </w:r>
    </w:p>
    <w:p w14:paraId="0AB9E5AA" w14:textId="60EC8BE0" w:rsidR="00194852" w:rsidRPr="009423EA" w:rsidRDefault="00052BF6" w:rsidP="00E91E95">
      <w:pPr>
        <w:spacing w:after="160" w:line="259" w:lineRule="auto"/>
        <w:jc w:val="both"/>
        <w:rPr>
          <w:rFonts w:ascii="Calibri" w:eastAsia="Calibri" w:hAnsi="Calibri" w:cs="Times New Roman"/>
          <w:color w:val="000000" w:themeColor="text1"/>
          <w:sz w:val="22"/>
          <w:szCs w:val="22"/>
          <w:lang w:val="es-AR" w:eastAsia="en-US"/>
        </w:rPr>
      </w:pPr>
      <w:r>
        <w:rPr>
          <w:rFonts w:ascii="Calibri" w:eastAsia="Calibri" w:hAnsi="Calibri" w:cs="Times New Roman"/>
          <w:noProof/>
          <w:color w:val="000000" w:themeColor="text1"/>
          <w:sz w:val="22"/>
          <w:szCs w:val="22"/>
          <w:lang w:val="es-AR" w:eastAsia="es-AR"/>
        </w:rPr>
        <w:lastRenderedPageBreak/>
        <w:drawing>
          <wp:inline distT="0" distB="0" distL="0" distR="0" wp14:anchorId="262A14F5" wp14:editId="3CE30817">
            <wp:extent cx="4962630" cy="324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630" cy="3240000"/>
                    </a:xfrm>
                    <a:prstGeom prst="rect">
                      <a:avLst/>
                    </a:prstGeom>
                    <a:noFill/>
                  </pic:spPr>
                </pic:pic>
              </a:graphicData>
            </a:graphic>
          </wp:inline>
        </w:drawing>
      </w:r>
    </w:p>
    <w:p w14:paraId="4B0719FC" w14:textId="75FFA5DD" w:rsidR="0086039A" w:rsidRPr="009423EA" w:rsidRDefault="0086039A" w:rsidP="00E91E95">
      <w:pPr>
        <w:spacing w:after="160" w:line="259" w:lineRule="auto"/>
        <w:jc w:val="both"/>
        <w:rPr>
          <w:rFonts w:ascii="Calibri" w:eastAsia="Calibri" w:hAnsi="Calibri" w:cs="Times New Roman"/>
          <w:b/>
          <w:color w:val="1F497D" w:themeColor="text2"/>
          <w:sz w:val="28"/>
          <w:szCs w:val="28"/>
          <w:lang w:val="es-AR" w:eastAsia="en-US"/>
        </w:rPr>
      </w:pPr>
      <w:r w:rsidRPr="009423EA">
        <w:rPr>
          <w:rFonts w:ascii="Calibri" w:eastAsia="Calibri" w:hAnsi="Calibri" w:cs="Times New Roman"/>
          <w:b/>
          <w:color w:val="1F497D" w:themeColor="text2"/>
          <w:sz w:val="28"/>
          <w:szCs w:val="28"/>
          <w:lang w:val="es-AR" w:eastAsia="en-US"/>
        </w:rPr>
        <w:t>Comparaciones de Alimentos y Bebidas base 100</w:t>
      </w:r>
      <w:r w:rsidR="00186B0A" w:rsidRPr="009423EA">
        <w:rPr>
          <w:rFonts w:ascii="Calibri" w:eastAsia="Calibri" w:hAnsi="Calibri" w:cs="Times New Roman"/>
          <w:b/>
          <w:color w:val="1F497D" w:themeColor="text2"/>
          <w:sz w:val="28"/>
          <w:szCs w:val="28"/>
          <w:lang w:val="es-AR" w:eastAsia="en-US"/>
        </w:rPr>
        <w:t xml:space="preserve"> </w:t>
      </w:r>
      <w:r w:rsidRPr="009423EA">
        <w:rPr>
          <w:rFonts w:ascii="Calibri" w:eastAsia="Calibri" w:hAnsi="Calibri" w:cs="Times New Roman"/>
          <w:b/>
          <w:color w:val="1F497D" w:themeColor="text2"/>
          <w:sz w:val="28"/>
          <w:szCs w:val="28"/>
          <w:lang w:val="es-AR" w:eastAsia="en-US"/>
        </w:rPr>
        <w:t>=</w:t>
      </w:r>
      <w:r w:rsidR="00186B0A" w:rsidRPr="009423EA">
        <w:rPr>
          <w:rFonts w:ascii="Calibri" w:eastAsia="Calibri" w:hAnsi="Calibri" w:cs="Times New Roman"/>
          <w:b/>
          <w:color w:val="1F497D" w:themeColor="text2"/>
          <w:sz w:val="28"/>
          <w:szCs w:val="28"/>
          <w:lang w:val="es-AR" w:eastAsia="en-US"/>
        </w:rPr>
        <w:t xml:space="preserve"> </w:t>
      </w:r>
      <w:r w:rsidRPr="009423EA">
        <w:rPr>
          <w:rFonts w:ascii="Calibri" w:eastAsia="Calibri" w:hAnsi="Calibri" w:cs="Times New Roman"/>
          <w:b/>
          <w:color w:val="1F497D" w:themeColor="text2"/>
          <w:sz w:val="28"/>
          <w:szCs w:val="28"/>
          <w:lang w:val="es-AR" w:eastAsia="en-US"/>
        </w:rPr>
        <w:t xml:space="preserve">2014: </w:t>
      </w:r>
    </w:p>
    <w:p w14:paraId="2FFC6F72" w14:textId="77777777"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Otro tanto se puede decir del Capítulo de Alimentos y Bebidas. Los aumentos desde el 2014 oscilan alrededor del 1.600/1.400 %.</w:t>
      </w:r>
    </w:p>
    <w:p w14:paraId="024C3E49" w14:textId="77777777"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Se pueden buscar frases adecuadas, pero queda claro que a la inflación la construimos con soltura.</w:t>
      </w:r>
    </w:p>
    <w:p w14:paraId="192CB013" w14:textId="20432195" w:rsidR="00194852" w:rsidRPr="009423EA" w:rsidRDefault="00052BF6" w:rsidP="00E91E95">
      <w:pPr>
        <w:spacing w:after="160" w:line="259" w:lineRule="auto"/>
        <w:jc w:val="both"/>
        <w:rPr>
          <w:rFonts w:ascii="Calibri" w:eastAsia="Calibri" w:hAnsi="Calibri" w:cs="Times New Roman"/>
          <w:color w:val="000000" w:themeColor="text1"/>
          <w:sz w:val="22"/>
          <w:szCs w:val="22"/>
          <w:lang w:val="es-AR" w:eastAsia="en-US"/>
        </w:rPr>
      </w:pPr>
      <w:r>
        <w:rPr>
          <w:rFonts w:ascii="Calibri" w:eastAsia="Calibri" w:hAnsi="Calibri" w:cs="Times New Roman"/>
          <w:noProof/>
          <w:color w:val="000000" w:themeColor="text1"/>
          <w:sz w:val="22"/>
          <w:szCs w:val="22"/>
          <w:lang w:val="es-AR" w:eastAsia="es-AR"/>
        </w:rPr>
        <w:drawing>
          <wp:inline distT="0" distB="0" distL="0" distR="0" wp14:anchorId="40CEA62E" wp14:editId="1DF49E48">
            <wp:extent cx="4464000" cy="32397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4000" cy="3239787"/>
                    </a:xfrm>
                    <a:prstGeom prst="rect">
                      <a:avLst/>
                    </a:prstGeom>
                    <a:noFill/>
                  </pic:spPr>
                </pic:pic>
              </a:graphicData>
            </a:graphic>
          </wp:inline>
        </w:drawing>
      </w:r>
    </w:p>
    <w:p w14:paraId="5652D0C3" w14:textId="11A4D87A" w:rsidR="0086039A" w:rsidRPr="009423EA" w:rsidRDefault="0086039A" w:rsidP="00E91E95">
      <w:pPr>
        <w:spacing w:after="160" w:line="259" w:lineRule="auto"/>
        <w:jc w:val="both"/>
        <w:rPr>
          <w:rFonts w:ascii="Calibri" w:eastAsia="Calibri" w:hAnsi="Calibri" w:cs="Times New Roman"/>
          <w:b/>
          <w:color w:val="1F497D" w:themeColor="text2"/>
          <w:sz w:val="28"/>
          <w:szCs w:val="28"/>
          <w:lang w:val="es-AR" w:eastAsia="en-US"/>
        </w:rPr>
      </w:pPr>
      <w:r w:rsidRPr="009423EA">
        <w:rPr>
          <w:rFonts w:ascii="Calibri" w:eastAsia="Calibri" w:hAnsi="Calibri" w:cs="Times New Roman"/>
          <w:b/>
          <w:color w:val="1F497D" w:themeColor="text2"/>
          <w:sz w:val="28"/>
          <w:szCs w:val="28"/>
          <w:lang w:val="es-AR" w:eastAsia="en-US"/>
        </w:rPr>
        <w:t>Comparaciones del Cap</w:t>
      </w:r>
      <w:r w:rsidR="008244B8" w:rsidRPr="009423EA">
        <w:rPr>
          <w:rFonts w:ascii="Calibri" w:eastAsia="Calibri" w:hAnsi="Calibri" w:cs="Times New Roman"/>
          <w:b/>
          <w:color w:val="1F497D" w:themeColor="text2"/>
          <w:sz w:val="28"/>
          <w:szCs w:val="28"/>
          <w:lang w:val="es-AR" w:eastAsia="en-US"/>
        </w:rPr>
        <w:t>í</w:t>
      </w:r>
      <w:r w:rsidRPr="009423EA">
        <w:rPr>
          <w:rFonts w:ascii="Calibri" w:eastAsia="Calibri" w:hAnsi="Calibri" w:cs="Times New Roman"/>
          <w:b/>
          <w:color w:val="1F497D" w:themeColor="text2"/>
          <w:sz w:val="28"/>
          <w:szCs w:val="28"/>
          <w:lang w:val="es-AR" w:eastAsia="en-US"/>
        </w:rPr>
        <w:t xml:space="preserve">tulo General </w:t>
      </w:r>
      <w:r w:rsidR="0046512D" w:rsidRPr="009423EA">
        <w:rPr>
          <w:rFonts w:ascii="Calibri" w:eastAsia="Calibri" w:hAnsi="Calibri" w:cs="Times New Roman"/>
          <w:b/>
          <w:color w:val="1F497D" w:themeColor="text2"/>
          <w:sz w:val="28"/>
          <w:szCs w:val="28"/>
          <w:lang w:val="es-AR" w:eastAsia="en-US"/>
        </w:rPr>
        <w:t xml:space="preserve">y Alimentos </w:t>
      </w:r>
      <w:r w:rsidRPr="009423EA">
        <w:rPr>
          <w:rFonts w:ascii="Calibri" w:eastAsia="Calibri" w:hAnsi="Calibri" w:cs="Times New Roman"/>
          <w:b/>
          <w:color w:val="1F497D" w:themeColor="text2"/>
          <w:sz w:val="28"/>
          <w:szCs w:val="28"/>
          <w:lang w:val="es-AR" w:eastAsia="en-US"/>
        </w:rPr>
        <w:t>en términos anuales:</w:t>
      </w:r>
    </w:p>
    <w:p w14:paraId="2F5FA761" w14:textId="77777777"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El camino sinuoso y peligroso de los índices anuales NG Nivel General (12 meses). Las diferencias cuando se presentan en los meses anteriores, especialmente en el 2016 y 2017, se asientan en los impactos y ajustes en servicios, algunos provinciales.</w:t>
      </w:r>
    </w:p>
    <w:p w14:paraId="03A50E3B" w14:textId="77777777"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lastRenderedPageBreak/>
        <w:t>El recorrido del NG sigue con bastante fidelidad las variaciones bruscas del tipo de cambio. Pero también por momentos pareciera que la inercia se impone o son otros elementos que intervienen en la multicausalidad de la inflación. Se le puede poner otro nombre.</w:t>
      </w:r>
    </w:p>
    <w:p w14:paraId="4F4A325C" w14:textId="194BA34A"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El nivel más bajo de precios en los años recientes se obtuvo en el 2017 con un dólar (peso) fuertemente apreciado, pero aclaramos que el 23 % anual "no es moco de pavo" ni una marca para pasar a la historia. Podríamos decir que es la trinchera de la inflación inercial.</w:t>
      </w:r>
      <w:r w:rsidR="00F045F5"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ES" w:eastAsia="en-US"/>
        </w:rPr>
        <w:t>Lo que muestra con claridad el gráfico es la alta volatilidad junto a porcentajes elevados</w:t>
      </w:r>
      <w:r w:rsidR="0028469D"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así es como </w:t>
      </w:r>
      <w:r w:rsidR="0028469D" w:rsidRPr="009423EA">
        <w:rPr>
          <w:rFonts w:ascii="Calibri" w:eastAsia="Calibri" w:hAnsi="Calibri" w:cs="Times New Roman"/>
          <w:bCs/>
          <w:color w:val="000000" w:themeColor="text1"/>
          <w:sz w:val="22"/>
          <w:szCs w:val="22"/>
          <w:lang w:val="es-ES" w:eastAsia="en-US"/>
        </w:rPr>
        <w:t xml:space="preserve">en mayo  del 2019 </w:t>
      </w:r>
      <w:r w:rsidRPr="009423EA">
        <w:rPr>
          <w:rFonts w:ascii="Calibri" w:eastAsia="Calibri" w:hAnsi="Calibri" w:cs="Times New Roman"/>
          <w:bCs/>
          <w:color w:val="000000" w:themeColor="text1"/>
          <w:sz w:val="22"/>
          <w:szCs w:val="22"/>
          <w:lang w:val="es-ES" w:eastAsia="en-US"/>
        </w:rPr>
        <w:t>se alcanzó entre el 50 y el 60 %. Pero ocurre que nos estamos acercando a esa marca.</w:t>
      </w:r>
    </w:p>
    <w:p w14:paraId="6C7AC278" w14:textId="2A6E7240"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En los últimos meses la curva a/a cambia su rumbo</w:t>
      </w:r>
      <w:r w:rsidR="0028469D" w:rsidRPr="009423EA">
        <w:rPr>
          <w:rFonts w:ascii="Calibri" w:eastAsia="Calibri" w:hAnsi="Calibri" w:cs="Times New Roman"/>
          <w:bCs/>
          <w:color w:val="000000" w:themeColor="text1"/>
          <w:sz w:val="22"/>
          <w:szCs w:val="22"/>
          <w:lang w:val="es-ES" w:eastAsia="en-US"/>
        </w:rPr>
        <w:t xml:space="preserve"> y nuevamente mira para arriba. </w:t>
      </w:r>
      <w:r w:rsidRPr="009423EA">
        <w:rPr>
          <w:rFonts w:ascii="Calibri" w:eastAsia="Calibri" w:hAnsi="Calibri" w:cs="Times New Roman"/>
          <w:bCs/>
          <w:color w:val="000000" w:themeColor="text1"/>
          <w:sz w:val="22"/>
          <w:szCs w:val="22"/>
          <w:lang w:val="es-ES" w:eastAsia="en-US"/>
        </w:rPr>
        <w:t xml:space="preserve">¿Seguirá esta tendencia? Los pronósticos no son similares y </w:t>
      </w:r>
      <w:r w:rsidR="00BA3611" w:rsidRPr="009423EA">
        <w:rPr>
          <w:rFonts w:ascii="Calibri" w:eastAsia="Calibri" w:hAnsi="Calibri" w:cs="Times New Roman"/>
          <w:bCs/>
          <w:color w:val="000000" w:themeColor="text1"/>
          <w:sz w:val="22"/>
          <w:szCs w:val="22"/>
          <w:lang w:val="es-ES" w:eastAsia="en-US"/>
        </w:rPr>
        <w:t>podríamos</w:t>
      </w:r>
      <w:r w:rsidRPr="009423EA">
        <w:rPr>
          <w:rFonts w:ascii="Calibri" w:eastAsia="Calibri" w:hAnsi="Calibri" w:cs="Times New Roman"/>
          <w:bCs/>
          <w:color w:val="000000" w:themeColor="text1"/>
          <w:sz w:val="22"/>
          <w:szCs w:val="22"/>
          <w:lang w:val="es-ES" w:eastAsia="en-US"/>
        </w:rPr>
        <w:t xml:space="preserve"> decir que las conjeturas son para arriba</w:t>
      </w:r>
      <w:r w:rsidR="0028469D" w:rsidRPr="009423EA">
        <w:rPr>
          <w:rFonts w:ascii="Calibri" w:eastAsia="Calibri" w:hAnsi="Calibri" w:cs="Times New Roman"/>
          <w:bCs/>
          <w:color w:val="000000" w:themeColor="text1"/>
          <w:sz w:val="22"/>
          <w:szCs w:val="22"/>
          <w:lang w:val="es-ES" w:eastAsia="en-US"/>
        </w:rPr>
        <w:t xml:space="preserve">. Seguramente </w:t>
      </w:r>
      <w:r w:rsidRPr="009423EA">
        <w:rPr>
          <w:rFonts w:ascii="Calibri" w:eastAsia="Calibri" w:hAnsi="Calibri" w:cs="Times New Roman"/>
          <w:bCs/>
          <w:color w:val="000000" w:themeColor="text1"/>
          <w:sz w:val="22"/>
          <w:szCs w:val="22"/>
          <w:lang w:val="es-ES" w:eastAsia="en-US"/>
        </w:rPr>
        <w:t xml:space="preserve">algunos </w:t>
      </w:r>
      <w:r w:rsidR="00BA3611" w:rsidRPr="009423EA">
        <w:rPr>
          <w:rFonts w:ascii="Calibri" w:eastAsia="Calibri" w:hAnsi="Calibri" w:cs="Times New Roman"/>
          <w:bCs/>
          <w:color w:val="000000" w:themeColor="text1"/>
          <w:sz w:val="22"/>
          <w:szCs w:val="22"/>
          <w:lang w:val="es-ES" w:eastAsia="en-US"/>
        </w:rPr>
        <w:t>preferirían</w:t>
      </w:r>
      <w:r w:rsidRPr="009423EA">
        <w:rPr>
          <w:rFonts w:ascii="Calibri" w:eastAsia="Calibri" w:hAnsi="Calibri" w:cs="Times New Roman"/>
          <w:bCs/>
          <w:color w:val="000000" w:themeColor="text1"/>
          <w:sz w:val="22"/>
          <w:szCs w:val="22"/>
          <w:lang w:val="es-ES" w:eastAsia="en-US"/>
        </w:rPr>
        <w:t xml:space="preserve"> seguir los designios de la </w:t>
      </w:r>
      <w:r w:rsidR="00BA3611" w:rsidRPr="009423EA">
        <w:rPr>
          <w:rFonts w:ascii="Calibri" w:eastAsia="Calibri" w:hAnsi="Calibri" w:cs="Times New Roman"/>
          <w:bCs/>
          <w:color w:val="000000" w:themeColor="text1"/>
          <w:sz w:val="22"/>
          <w:szCs w:val="22"/>
          <w:lang w:val="es-ES" w:eastAsia="en-US"/>
        </w:rPr>
        <w:t>película</w:t>
      </w:r>
      <w:r w:rsidRPr="009423EA">
        <w:rPr>
          <w:rFonts w:ascii="Calibri" w:eastAsia="Calibri" w:hAnsi="Calibri" w:cs="Times New Roman"/>
          <w:bCs/>
          <w:color w:val="000000" w:themeColor="text1"/>
          <w:sz w:val="22"/>
          <w:szCs w:val="22"/>
          <w:lang w:val="es-ES" w:eastAsia="en-US"/>
        </w:rPr>
        <w:t xml:space="preserve"> "No mirar para arriba".</w:t>
      </w:r>
    </w:p>
    <w:p w14:paraId="24E79CFF" w14:textId="78CFA680" w:rsidR="00E436CB" w:rsidRPr="009423EA" w:rsidRDefault="003D26BC" w:rsidP="00960E69">
      <w:pPr>
        <w:spacing w:after="160" w:line="259" w:lineRule="auto"/>
        <w:jc w:val="both"/>
        <w:rPr>
          <w:rFonts w:ascii="Calibri" w:eastAsia="Calibri" w:hAnsi="Calibri" w:cs="Times New Roman"/>
          <w:bCs/>
          <w:color w:val="000000" w:themeColor="text1"/>
          <w:sz w:val="22"/>
          <w:szCs w:val="22"/>
          <w:lang w:val="es-ES" w:eastAsia="en-US"/>
        </w:rPr>
      </w:pPr>
      <w:r>
        <w:rPr>
          <w:rFonts w:ascii="Calibri" w:eastAsia="Calibri" w:hAnsi="Calibri" w:cs="Times New Roman"/>
          <w:bCs/>
          <w:noProof/>
          <w:color w:val="000000" w:themeColor="text1"/>
          <w:sz w:val="22"/>
          <w:szCs w:val="22"/>
          <w:lang w:val="es-AR" w:eastAsia="es-AR"/>
        </w:rPr>
        <w:drawing>
          <wp:inline distT="0" distB="0" distL="0" distR="0" wp14:anchorId="729205C0" wp14:editId="1C098C63">
            <wp:extent cx="4461358" cy="324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1358" cy="3240000"/>
                    </a:xfrm>
                    <a:prstGeom prst="rect">
                      <a:avLst/>
                    </a:prstGeom>
                    <a:noFill/>
                  </pic:spPr>
                </pic:pic>
              </a:graphicData>
            </a:graphic>
          </wp:inline>
        </w:drawing>
      </w:r>
    </w:p>
    <w:p w14:paraId="18956C03" w14:textId="77777777" w:rsidR="00295280" w:rsidRPr="009423EA" w:rsidRDefault="00295280" w:rsidP="00295280">
      <w:pPr>
        <w:spacing w:after="160" w:line="259" w:lineRule="auto"/>
        <w:jc w:val="both"/>
        <w:rPr>
          <w:rFonts w:ascii="Calibri" w:eastAsia="Calibri" w:hAnsi="Calibri" w:cs="Times New Roman"/>
          <w:color w:val="365F91" w:themeColor="accent1" w:themeShade="BF"/>
          <w:sz w:val="28"/>
          <w:szCs w:val="28"/>
          <w:lang w:val="es-AR" w:eastAsia="en-US"/>
        </w:rPr>
      </w:pPr>
      <w:r w:rsidRPr="009423EA">
        <w:rPr>
          <w:rFonts w:ascii="Calibri" w:eastAsia="Calibri" w:hAnsi="Calibri" w:cs="Times New Roman"/>
          <w:b/>
          <w:bCs/>
          <w:color w:val="365F91" w:themeColor="accent1" w:themeShade="BF"/>
          <w:sz w:val="28"/>
          <w:szCs w:val="28"/>
          <w:lang w:val="es-ES" w:eastAsia="en-US"/>
        </w:rPr>
        <w:t xml:space="preserve">Alimentos y Bebidas anual. </w:t>
      </w:r>
    </w:p>
    <w:p w14:paraId="01A27546" w14:textId="77777777"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ES" w:eastAsia="en-US"/>
        </w:rPr>
        <w:t>Se inicia el año 2022 con un promedio del 55 % interanual como se muestra en el cuadro. El capítulo de Alimentos y Bebidas se presenta relativamente homogéneo en los índices considerados. En los tiempos recientes y con alta velocidad de movimiento, la convergencia sigue observándose, a pesar de algunas disparadas.</w:t>
      </w:r>
    </w:p>
    <w:p w14:paraId="5079C22A" w14:textId="77777777"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ES" w:eastAsia="en-US"/>
        </w:rPr>
        <w:t xml:space="preserve">Para tener en cuenta, </w:t>
      </w:r>
      <w:r w:rsidRPr="009423EA">
        <w:rPr>
          <w:rFonts w:ascii="Calibri" w:eastAsia="Calibri" w:hAnsi="Calibri" w:cs="Times New Roman"/>
          <w:b/>
          <w:bCs/>
          <w:color w:val="000000" w:themeColor="text1"/>
          <w:sz w:val="22"/>
          <w:szCs w:val="22"/>
          <w:u w:val="single"/>
          <w:lang w:val="es-ES" w:eastAsia="en-US"/>
        </w:rPr>
        <w:t>devaluaciones</w:t>
      </w:r>
      <w:r w:rsidRPr="009423EA">
        <w:rPr>
          <w:rFonts w:ascii="Calibri" w:eastAsia="Calibri" w:hAnsi="Calibri" w:cs="Times New Roman"/>
          <w:color w:val="000000" w:themeColor="text1"/>
          <w:sz w:val="22"/>
          <w:szCs w:val="22"/>
          <w:lang w:val="es-ES" w:eastAsia="en-US"/>
        </w:rPr>
        <w:t xml:space="preserve"> producidas en los inicios del 2014, en el final del 2015, a principios del 2016 y en los primeros meses del 2018 y, parcialmente en el 2019, ARRASTRAN NECESARIAMENTE a altos niveles el CAPÍTULO de mayor ponderación en las canastas utilizadas.</w:t>
      </w:r>
    </w:p>
    <w:p w14:paraId="1B8151C5" w14:textId="2D7A8E93" w:rsidR="00CA2A57" w:rsidRPr="009423EA" w:rsidRDefault="00CA2A57" w:rsidP="00CA2A57">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ES" w:eastAsia="en-US"/>
        </w:rPr>
        <w:t>El nivel alcanzado en el mes supera el Nivel General y ronda en promedio el 55/53 %, con Santa Fe y Ciudad en el pico. También</w:t>
      </w:r>
      <w:r w:rsidR="0028469D" w:rsidRPr="009423EA">
        <w:rPr>
          <w:rFonts w:ascii="Calibri" w:eastAsia="Calibri" w:hAnsi="Calibri" w:cs="Times New Roman"/>
          <w:color w:val="000000" w:themeColor="text1"/>
          <w:sz w:val="22"/>
          <w:szCs w:val="22"/>
          <w:lang w:val="es-ES" w:eastAsia="en-US"/>
        </w:rPr>
        <w:t xml:space="preserve"> </w:t>
      </w:r>
      <w:r w:rsidRPr="009423EA">
        <w:rPr>
          <w:rFonts w:ascii="Calibri" w:eastAsia="Calibri" w:hAnsi="Calibri" w:cs="Times New Roman"/>
          <w:color w:val="000000" w:themeColor="text1"/>
          <w:sz w:val="22"/>
          <w:szCs w:val="22"/>
          <w:lang w:val="es-ES" w:eastAsia="en-US"/>
        </w:rPr>
        <w:t xml:space="preserve">observamos un cambio en la tendencia, apuntando </w:t>
      </w:r>
      <w:r w:rsidR="0028469D" w:rsidRPr="009423EA">
        <w:rPr>
          <w:rFonts w:ascii="Calibri" w:eastAsia="Calibri" w:hAnsi="Calibri" w:cs="Times New Roman"/>
          <w:color w:val="000000" w:themeColor="text1"/>
          <w:sz w:val="22"/>
          <w:szCs w:val="22"/>
          <w:lang w:val="es-ES" w:eastAsia="en-US"/>
        </w:rPr>
        <w:t xml:space="preserve">ahora </w:t>
      </w:r>
      <w:r w:rsidRPr="009423EA">
        <w:rPr>
          <w:rFonts w:ascii="Calibri" w:eastAsia="Calibri" w:hAnsi="Calibri" w:cs="Times New Roman"/>
          <w:color w:val="000000" w:themeColor="text1"/>
          <w:sz w:val="22"/>
          <w:szCs w:val="22"/>
          <w:lang w:val="es-ES" w:eastAsia="en-US"/>
        </w:rPr>
        <w:t xml:space="preserve">la curva a la suba. </w:t>
      </w:r>
      <w:r w:rsidR="00F045F5" w:rsidRPr="009423EA">
        <w:rPr>
          <w:rFonts w:ascii="Calibri" w:eastAsia="Calibri" w:hAnsi="Calibri" w:cs="Times New Roman"/>
          <w:color w:val="000000" w:themeColor="text1"/>
          <w:sz w:val="22"/>
          <w:szCs w:val="22"/>
          <w:lang w:val="es-AR" w:eastAsia="en-US"/>
        </w:rPr>
        <w:t xml:space="preserve"> </w:t>
      </w:r>
      <w:r w:rsidRPr="009423EA">
        <w:rPr>
          <w:rFonts w:ascii="Calibri" w:eastAsia="Calibri" w:hAnsi="Calibri" w:cs="Times New Roman"/>
          <w:color w:val="000000" w:themeColor="text1"/>
          <w:sz w:val="22"/>
          <w:szCs w:val="22"/>
          <w:lang w:val="es-ES" w:eastAsia="en-US"/>
        </w:rPr>
        <w:t xml:space="preserve">Es una piedra en los zapatos desde hace muchos años. </w:t>
      </w:r>
    </w:p>
    <w:p w14:paraId="097C0CBC" w14:textId="6FAE30DC" w:rsidR="001E0A8B" w:rsidRPr="009423EA" w:rsidRDefault="003D26BC" w:rsidP="00E91E95">
      <w:pPr>
        <w:spacing w:after="160" w:line="259" w:lineRule="auto"/>
        <w:jc w:val="both"/>
        <w:rPr>
          <w:rFonts w:ascii="Calibri" w:eastAsia="Calibri" w:hAnsi="Calibri" w:cs="Times New Roman"/>
          <w:color w:val="000000" w:themeColor="text1"/>
          <w:sz w:val="22"/>
          <w:szCs w:val="22"/>
          <w:lang w:val="es-AR" w:eastAsia="en-US"/>
        </w:rPr>
      </w:pPr>
      <w:r>
        <w:rPr>
          <w:rFonts w:ascii="Calibri" w:eastAsia="Calibri" w:hAnsi="Calibri" w:cs="Times New Roman"/>
          <w:noProof/>
          <w:color w:val="000000" w:themeColor="text1"/>
          <w:sz w:val="22"/>
          <w:szCs w:val="22"/>
          <w:lang w:val="es-AR" w:eastAsia="es-AR"/>
        </w:rPr>
        <w:lastRenderedPageBreak/>
        <w:drawing>
          <wp:inline distT="0" distB="0" distL="0" distR="0" wp14:anchorId="0F5AC5B3" wp14:editId="6AE55657">
            <wp:extent cx="4463066" cy="324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3066" cy="3240000"/>
                    </a:xfrm>
                    <a:prstGeom prst="rect">
                      <a:avLst/>
                    </a:prstGeom>
                    <a:noFill/>
                  </pic:spPr>
                </pic:pic>
              </a:graphicData>
            </a:graphic>
          </wp:inline>
        </w:drawing>
      </w:r>
    </w:p>
    <w:p w14:paraId="06B18987" w14:textId="77777777" w:rsidR="0086039A" w:rsidRPr="009423EA" w:rsidRDefault="0086039A" w:rsidP="00E91E95">
      <w:pPr>
        <w:spacing w:after="160" w:line="259" w:lineRule="auto"/>
        <w:jc w:val="both"/>
        <w:rPr>
          <w:rFonts w:ascii="Calibri" w:eastAsia="Calibri" w:hAnsi="Calibri" w:cs="Times New Roman"/>
          <w:b/>
          <w:color w:val="1F497D" w:themeColor="text2"/>
          <w:sz w:val="28"/>
          <w:szCs w:val="28"/>
          <w:lang w:val="es-ES" w:eastAsia="en-US"/>
        </w:rPr>
      </w:pPr>
      <w:r w:rsidRPr="009423EA">
        <w:rPr>
          <w:rFonts w:ascii="Calibri" w:eastAsia="Calibri" w:hAnsi="Calibri" w:cs="Times New Roman"/>
          <w:b/>
          <w:color w:val="1F497D" w:themeColor="text2"/>
          <w:sz w:val="28"/>
          <w:szCs w:val="28"/>
          <w:lang w:val="es-ES" w:eastAsia="en-US"/>
        </w:rPr>
        <w:t>Inflación, dólar y tasa de política monetaria del Banco Central.</w:t>
      </w:r>
    </w:p>
    <w:p w14:paraId="7D79487C" w14:textId="3BD71C7C" w:rsidR="00945873" w:rsidRPr="009423EA" w:rsidRDefault="0086039A" w:rsidP="00945873">
      <w:pPr>
        <w:spacing w:after="160" w:line="259" w:lineRule="auto"/>
        <w:jc w:val="both"/>
        <w:rPr>
          <w:rFonts w:ascii="Calibri" w:eastAsia="Calibri" w:hAnsi="Calibri" w:cs="Times New Roman"/>
          <w:bCs/>
          <w:color w:val="1F497D" w:themeColor="text2"/>
          <w:sz w:val="22"/>
          <w:szCs w:val="22"/>
          <w:lang w:val="es-AR" w:eastAsia="en-US"/>
        </w:rPr>
      </w:pPr>
      <w:r w:rsidRPr="009423EA">
        <w:rPr>
          <w:rFonts w:ascii="Calibri" w:eastAsia="Calibri" w:hAnsi="Calibri" w:cs="Times New Roman"/>
          <w:b/>
          <w:bCs/>
          <w:color w:val="1F497D" w:themeColor="text2"/>
          <w:sz w:val="22"/>
          <w:szCs w:val="22"/>
          <w:lang w:val="es-AR" w:eastAsia="en-US"/>
        </w:rPr>
        <w:t>Brechas, con un gráfico en menor tiempo</w:t>
      </w:r>
      <w:r w:rsidR="007102D6" w:rsidRPr="009423EA">
        <w:rPr>
          <w:rFonts w:ascii="Calibri" w:eastAsia="Calibri" w:hAnsi="Calibri" w:cs="Times New Roman"/>
          <w:b/>
          <w:bCs/>
          <w:color w:val="1F497D" w:themeColor="text2"/>
          <w:sz w:val="22"/>
          <w:szCs w:val="22"/>
          <w:lang w:val="es-AR" w:eastAsia="en-US"/>
        </w:rPr>
        <w:t>,</w:t>
      </w:r>
      <w:r w:rsidR="00900FED" w:rsidRPr="009423EA">
        <w:rPr>
          <w:rFonts w:ascii="Calibri" w:eastAsia="Calibri" w:hAnsi="Calibri" w:cs="Times New Roman"/>
          <w:b/>
          <w:bCs/>
          <w:color w:val="1F497D" w:themeColor="text2"/>
          <w:sz w:val="22"/>
          <w:szCs w:val="22"/>
          <w:lang w:val="es-AR" w:eastAsia="en-US"/>
        </w:rPr>
        <w:t xml:space="preserve"> base 100 = enero 2014</w:t>
      </w:r>
      <w:r w:rsidRPr="009423EA">
        <w:rPr>
          <w:rFonts w:ascii="Calibri" w:eastAsia="Calibri" w:hAnsi="Calibri" w:cs="Times New Roman"/>
          <w:b/>
          <w:bCs/>
          <w:color w:val="1F497D" w:themeColor="text2"/>
          <w:sz w:val="22"/>
          <w:szCs w:val="22"/>
          <w:lang w:val="es-AR" w:eastAsia="en-US"/>
        </w:rPr>
        <w:t>:</w:t>
      </w:r>
      <w:r w:rsidRPr="009423EA">
        <w:rPr>
          <w:rFonts w:ascii="Calibri" w:eastAsia="Calibri" w:hAnsi="Calibri" w:cs="Times New Roman"/>
          <w:bCs/>
          <w:color w:val="1F497D" w:themeColor="text2"/>
          <w:sz w:val="22"/>
          <w:szCs w:val="22"/>
          <w:lang w:val="es-AR" w:eastAsia="en-US"/>
        </w:rPr>
        <w:t xml:space="preserve"> </w:t>
      </w:r>
    </w:p>
    <w:p w14:paraId="7806EE71" w14:textId="5485950D"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Muchas veces</w:t>
      </w:r>
      <w:r w:rsidR="0028469D"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w:t>
      </w:r>
      <w:r w:rsidR="0028469D" w:rsidRPr="009423EA">
        <w:rPr>
          <w:rFonts w:ascii="Calibri" w:eastAsia="Calibri" w:hAnsi="Calibri" w:cs="Times New Roman"/>
          <w:bCs/>
          <w:color w:val="000000" w:themeColor="text1"/>
          <w:sz w:val="22"/>
          <w:szCs w:val="22"/>
          <w:lang w:val="es-AR" w:eastAsia="en-US"/>
        </w:rPr>
        <w:t xml:space="preserve">el horizonte puede mostrarse diferente, según el lugar donde nos ubicamos para </w:t>
      </w:r>
      <w:r w:rsidRPr="009423EA">
        <w:rPr>
          <w:rFonts w:ascii="Calibri" w:eastAsia="Calibri" w:hAnsi="Calibri" w:cs="Times New Roman"/>
          <w:bCs/>
          <w:color w:val="000000" w:themeColor="text1"/>
          <w:sz w:val="22"/>
          <w:szCs w:val="22"/>
          <w:lang w:val="es-AR" w:eastAsia="en-US"/>
        </w:rPr>
        <w:t>ver</w:t>
      </w:r>
      <w:r w:rsidR="0028469D" w:rsidRPr="009423EA">
        <w:rPr>
          <w:rFonts w:ascii="Calibri" w:eastAsia="Calibri" w:hAnsi="Calibri" w:cs="Times New Roman"/>
          <w:bCs/>
          <w:color w:val="000000" w:themeColor="text1"/>
          <w:sz w:val="22"/>
          <w:szCs w:val="22"/>
          <w:lang w:val="es-AR" w:eastAsia="en-US"/>
        </w:rPr>
        <w:t>lo</w:t>
      </w:r>
      <w:r w:rsidRPr="009423EA">
        <w:rPr>
          <w:rFonts w:ascii="Calibri" w:eastAsia="Calibri" w:hAnsi="Calibri" w:cs="Times New Roman"/>
          <w:bCs/>
          <w:color w:val="000000" w:themeColor="text1"/>
          <w:sz w:val="22"/>
          <w:szCs w:val="22"/>
          <w:lang w:val="es-AR" w:eastAsia="en-US"/>
        </w:rPr>
        <w:t>. Por las dudas</w:t>
      </w:r>
      <w:r w:rsidR="0028469D" w:rsidRPr="009423EA">
        <w:rPr>
          <w:rFonts w:ascii="Calibri" w:eastAsia="Calibri" w:hAnsi="Calibri" w:cs="Times New Roman"/>
          <w:bCs/>
          <w:color w:val="000000" w:themeColor="text1"/>
          <w:sz w:val="22"/>
          <w:szCs w:val="22"/>
          <w:lang w:val="es-AR" w:eastAsia="en-US"/>
        </w:rPr>
        <w:t xml:space="preserve">, es conveniente </w:t>
      </w:r>
      <w:r w:rsidRPr="009423EA">
        <w:rPr>
          <w:rFonts w:ascii="Calibri" w:eastAsia="Calibri" w:hAnsi="Calibri" w:cs="Times New Roman"/>
          <w:bCs/>
          <w:color w:val="000000" w:themeColor="text1"/>
          <w:sz w:val="22"/>
          <w:szCs w:val="22"/>
          <w:lang w:val="es-AR" w:eastAsia="en-US"/>
        </w:rPr>
        <w:t>tenerlo en cuenta.</w:t>
      </w:r>
    </w:p>
    <w:p w14:paraId="3CF66062" w14:textId="200AE127"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Recordemos que en mayo del 2018, el Dólar supera los índices de precios y esto continúa en la actualidad, sobre la base 2014=100. Pero la ventaja acumulada se está perdiendo</w:t>
      </w:r>
      <w:r w:rsidR="00042665" w:rsidRPr="009423EA">
        <w:rPr>
          <w:rFonts w:ascii="Calibri" w:eastAsia="Calibri" w:hAnsi="Calibri" w:cs="Times New Roman"/>
          <w:bCs/>
          <w:color w:val="000000" w:themeColor="text1"/>
          <w:sz w:val="22"/>
          <w:szCs w:val="22"/>
          <w:lang w:val="es-AR" w:eastAsia="en-US"/>
        </w:rPr>
        <w:t xml:space="preserve">. Esto se puede apreciar </w:t>
      </w:r>
      <w:r w:rsidRPr="009423EA">
        <w:rPr>
          <w:rFonts w:ascii="Calibri" w:eastAsia="Calibri" w:hAnsi="Calibri" w:cs="Times New Roman"/>
          <w:bCs/>
          <w:color w:val="000000" w:themeColor="text1"/>
          <w:sz w:val="22"/>
          <w:szCs w:val="22"/>
          <w:lang w:val="es-AR" w:eastAsia="en-US"/>
        </w:rPr>
        <w:t>en el gráfico</w:t>
      </w:r>
      <w:r w:rsidR="00042665"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con el </w:t>
      </w:r>
      <w:r w:rsidR="00BA3611" w:rsidRPr="009423EA">
        <w:rPr>
          <w:rFonts w:ascii="Calibri" w:eastAsia="Calibri" w:hAnsi="Calibri" w:cs="Times New Roman"/>
          <w:bCs/>
          <w:color w:val="000000" w:themeColor="text1"/>
          <w:sz w:val="22"/>
          <w:szCs w:val="22"/>
          <w:lang w:val="es-AR" w:eastAsia="en-US"/>
        </w:rPr>
        <w:t>dólar</w:t>
      </w:r>
      <w:r w:rsidRPr="009423EA">
        <w:rPr>
          <w:rFonts w:ascii="Calibri" w:eastAsia="Calibri" w:hAnsi="Calibri" w:cs="Times New Roman"/>
          <w:bCs/>
          <w:color w:val="000000" w:themeColor="text1"/>
          <w:sz w:val="22"/>
          <w:szCs w:val="22"/>
          <w:lang w:val="es-AR" w:eastAsia="en-US"/>
        </w:rPr>
        <w:t xml:space="preserve"> oficial.</w:t>
      </w:r>
    </w:p>
    <w:p w14:paraId="52DC68D7" w14:textId="42E65FB2"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Los salarios acompañan al IPC y en la actualidad pareciera que está ocurriendo una especie de cláusula gatillo. No podría ser de otra manera con estos niveles de inflación</w:t>
      </w:r>
      <w:r w:rsidR="00042665"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y siguiendo la afirmación del ministro Guzmán las paritarias debieran superar a los precios. Pero estamos hablando especialmente de los registrados. Suelen ser más expresiones de anhelo que de un plan</w:t>
      </w:r>
      <w:r w:rsidR="00042665"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y el año 2022 contiene dudas y sorpresas.</w:t>
      </w:r>
    </w:p>
    <w:p w14:paraId="6CAEE6C1" w14:textId="402B2B1A"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Como se observa, la marcha de la inflación es relativamente similar en los diferentes indicadores de precios de los </w:t>
      </w:r>
      <w:r w:rsidR="00042665" w:rsidRPr="009423EA">
        <w:rPr>
          <w:rFonts w:ascii="Calibri" w:eastAsia="Calibri" w:hAnsi="Calibri" w:cs="Times New Roman"/>
          <w:bCs/>
          <w:color w:val="000000" w:themeColor="text1"/>
          <w:sz w:val="22"/>
          <w:szCs w:val="22"/>
          <w:lang w:val="es-AR" w:eastAsia="en-US"/>
        </w:rPr>
        <w:t>i</w:t>
      </w:r>
      <w:r w:rsidRPr="009423EA">
        <w:rPr>
          <w:rFonts w:ascii="Calibri" w:eastAsia="Calibri" w:hAnsi="Calibri" w:cs="Times New Roman"/>
          <w:bCs/>
          <w:color w:val="000000" w:themeColor="text1"/>
          <w:sz w:val="22"/>
          <w:szCs w:val="22"/>
          <w:lang w:val="es-AR" w:eastAsia="en-US"/>
        </w:rPr>
        <w:t>nstitutos de Estad</w:t>
      </w:r>
      <w:r w:rsidR="00042665" w:rsidRPr="009423EA">
        <w:rPr>
          <w:rFonts w:ascii="Calibri" w:eastAsia="Calibri" w:hAnsi="Calibri" w:cs="Times New Roman"/>
          <w:bCs/>
          <w:color w:val="000000" w:themeColor="text1"/>
          <w:sz w:val="22"/>
          <w:szCs w:val="22"/>
          <w:lang w:val="es-AR" w:eastAsia="en-US"/>
        </w:rPr>
        <w:t>í</w:t>
      </w:r>
      <w:r w:rsidRPr="009423EA">
        <w:rPr>
          <w:rFonts w:ascii="Calibri" w:eastAsia="Calibri" w:hAnsi="Calibri" w:cs="Times New Roman"/>
          <w:bCs/>
          <w:color w:val="000000" w:themeColor="text1"/>
          <w:sz w:val="22"/>
          <w:szCs w:val="22"/>
          <w:lang w:val="es-AR" w:eastAsia="en-US"/>
        </w:rPr>
        <w:t xml:space="preserve">stica. El salario queda por debajo tanto en el mes de diciembre del 2019, diciembre del 2020 y en el 2021. Estamos estimando una modificación en el mes, por lo tanto se puede modificar el comentario. En </w:t>
      </w:r>
      <w:r w:rsidR="00042665" w:rsidRPr="009423EA">
        <w:rPr>
          <w:rFonts w:ascii="Calibri" w:eastAsia="Calibri" w:hAnsi="Calibri" w:cs="Times New Roman"/>
          <w:bCs/>
          <w:color w:val="000000" w:themeColor="text1"/>
          <w:sz w:val="22"/>
          <w:szCs w:val="22"/>
          <w:lang w:val="es-AR" w:eastAsia="en-US"/>
        </w:rPr>
        <w:t>a</w:t>
      </w:r>
      <w:r w:rsidRPr="009423EA">
        <w:rPr>
          <w:rFonts w:ascii="Calibri" w:eastAsia="Calibri" w:hAnsi="Calibri" w:cs="Times New Roman"/>
          <w:bCs/>
          <w:color w:val="000000" w:themeColor="text1"/>
          <w:sz w:val="22"/>
          <w:szCs w:val="22"/>
          <w:lang w:val="es-AR" w:eastAsia="en-US"/>
        </w:rPr>
        <w:t>gosto del 2019 se produjo el último gran salto devaluatorio hasta el momento y en pleno proceso electoral, que provocó un sacudón en la economía.</w:t>
      </w:r>
    </w:p>
    <w:p w14:paraId="77BAE141" w14:textId="4B8F16B6" w:rsidR="00CA2A57" w:rsidRPr="009423EA" w:rsidRDefault="00CA2A57" w:rsidP="00CA2A57">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Conclusión: Si hay recordatorio (por lo menos en los plazos analizados), los precios deben mirar para arriba si buscan la referencia del dólar y estamos con el oficial, pero cada vez miran menos arriba. O sea un problema y de alguna manera es la diferencia que está jugando el BCRA al atenuar las subas recientes. Y por lo visto algo está logrando</w:t>
      </w:r>
      <w:r w:rsidR="00042665"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por lo menos con el oficial.  ¿</w:t>
      </w:r>
      <w:r w:rsidR="00BA3611" w:rsidRPr="009423EA">
        <w:rPr>
          <w:rFonts w:ascii="Calibri" w:eastAsia="Calibri" w:hAnsi="Calibri" w:cs="Times New Roman"/>
          <w:bCs/>
          <w:color w:val="000000" w:themeColor="text1"/>
          <w:sz w:val="22"/>
          <w:szCs w:val="22"/>
          <w:lang w:val="es-AR" w:eastAsia="en-US"/>
        </w:rPr>
        <w:t>Cuánto</w:t>
      </w:r>
      <w:r w:rsidRPr="009423EA">
        <w:rPr>
          <w:rFonts w:ascii="Calibri" w:eastAsia="Calibri" w:hAnsi="Calibri" w:cs="Times New Roman"/>
          <w:bCs/>
          <w:color w:val="000000" w:themeColor="text1"/>
          <w:sz w:val="22"/>
          <w:szCs w:val="22"/>
          <w:lang w:val="es-AR" w:eastAsia="en-US"/>
        </w:rPr>
        <w:t xml:space="preserve"> dura esta situación?</w:t>
      </w:r>
      <w:r w:rsidR="00776D38"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Para ser más claro, en un plazo mayor el dólar sigue arriba de los IPC por poco. </w:t>
      </w:r>
      <w:r w:rsidR="00776D38"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En plazos más cortos se pueden hacer otras afirmaciones, y es lo que hacemos en otros puntos.</w:t>
      </w:r>
      <w:r w:rsidR="00776D38"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Otro cantar si analizamos los otros dólares.</w:t>
      </w:r>
    </w:p>
    <w:p w14:paraId="28715887" w14:textId="3F727948" w:rsidR="00746B67" w:rsidRPr="009423EA" w:rsidRDefault="003D26BC" w:rsidP="00707BB2">
      <w:pPr>
        <w:spacing w:after="160" w:line="259" w:lineRule="auto"/>
        <w:jc w:val="both"/>
        <w:rPr>
          <w:rFonts w:ascii="Calibri" w:eastAsia="Calibri" w:hAnsi="Calibri" w:cs="Times New Roman"/>
          <w:bCs/>
          <w:color w:val="000000" w:themeColor="text1"/>
          <w:sz w:val="22"/>
          <w:szCs w:val="22"/>
          <w:lang w:val="es-AR" w:eastAsia="en-US"/>
        </w:rPr>
      </w:pPr>
      <w:r>
        <w:rPr>
          <w:rFonts w:ascii="Calibri" w:eastAsia="Calibri" w:hAnsi="Calibri" w:cs="Times New Roman"/>
          <w:bCs/>
          <w:noProof/>
          <w:color w:val="000000" w:themeColor="text1"/>
          <w:sz w:val="22"/>
          <w:szCs w:val="22"/>
          <w:lang w:val="es-AR" w:eastAsia="es-AR"/>
        </w:rPr>
        <w:lastRenderedPageBreak/>
        <w:drawing>
          <wp:inline distT="0" distB="0" distL="0" distR="0" wp14:anchorId="366C45A4" wp14:editId="016BC401">
            <wp:extent cx="4459823" cy="324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9823" cy="3240000"/>
                    </a:xfrm>
                    <a:prstGeom prst="rect">
                      <a:avLst/>
                    </a:prstGeom>
                    <a:noFill/>
                  </pic:spPr>
                </pic:pic>
              </a:graphicData>
            </a:graphic>
          </wp:inline>
        </w:drawing>
      </w:r>
    </w:p>
    <w:p w14:paraId="3A3C928A" w14:textId="4C645515" w:rsidR="00232E30" w:rsidRPr="009423EA" w:rsidRDefault="0086039A" w:rsidP="00E91E95">
      <w:pPr>
        <w:spacing w:after="160" w:line="259" w:lineRule="auto"/>
        <w:jc w:val="both"/>
        <w:rPr>
          <w:rFonts w:ascii="Calibri" w:eastAsia="Calibri" w:hAnsi="Calibri" w:cs="Times New Roman"/>
          <w:color w:val="1F497D" w:themeColor="text2"/>
          <w:sz w:val="28"/>
          <w:szCs w:val="28"/>
          <w:lang w:val="es-ES" w:eastAsia="en-US"/>
        </w:rPr>
      </w:pPr>
      <w:r w:rsidRPr="009423EA">
        <w:rPr>
          <w:rFonts w:ascii="Calibri" w:eastAsia="Calibri" w:hAnsi="Calibri" w:cs="Times New Roman"/>
          <w:b/>
          <w:bCs/>
          <w:color w:val="1F497D" w:themeColor="text2"/>
          <w:sz w:val="28"/>
          <w:szCs w:val="28"/>
          <w:lang w:val="es-ES" w:eastAsia="en-US"/>
        </w:rPr>
        <w:t xml:space="preserve">¿Qué ocurre en </w:t>
      </w:r>
      <w:r w:rsidR="00261689" w:rsidRPr="009423EA">
        <w:rPr>
          <w:rFonts w:ascii="Calibri" w:eastAsia="Calibri" w:hAnsi="Calibri" w:cs="Times New Roman"/>
          <w:b/>
          <w:bCs/>
          <w:color w:val="1F497D" w:themeColor="text2"/>
          <w:sz w:val="28"/>
          <w:szCs w:val="28"/>
          <w:lang w:val="es-ES" w:eastAsia="en-US"/>
        </w:rPr>
        <w:t>el</w:t>
      </w:r>
      <w:r w:rsidRPr="009423EA">
        <w:rPr>
          <w:rFonts w:ascii="Calibri" w:eastAsia="Calibri" w:hAnsi="Calibri" w:cs="Times New Roman"/>
          <w:b/>
          <w:bCs/>
          <w:color w:val="1F497D" w:themeColor="text2"/>
          <w:sz w:val="28"/>
          <w:szCs w:val="28"/>
          <w:lang w:val="es-ES" w:eastAsia="en-US"/>
        </w:rPr>
        <w:t xml:space="preserve"> </w:t>
      </w:r>
      <w:r w:rsidR="00261689" w:rsidRPr="009423EA">
        <w:rPr>
          <w:rFonts w:ascii="Calibri" w:eastAsia="Calibri" w:hAnsi="Calibri" w:cs="Times New Roman"/>
          <w:b/>
          <w:bCs/>
          <w:color w:val="1F497D" w:themeColor="text2"/>
          <w:sz w:val="28"/>
          <w:szCs w:val="28"/>
          <w:lang w:val="es-ES" w:eastAsia="en-US"/>
        </w:rPr>
        <w:t xml:space="preserve">acumulado del </w:t>
      </w:r>
      <w:r w:rsidRPr="009423EA">
        <w:rPr>
          <w:rFonts w:ascii="Calibri" w:eastAsia="Calibri" w:hAnsi="Calibri" w:cs="Times New Roman"/>
          <w:b/>
          <w:bCs/>
          <w:color w:val="1F497D" w:themeColor="text2"/>
          <w:sz w:val="28"/>
          <w:szCs w:val="28"/>
          <w:lang w:val="es-ES" w:eastAsia="en-US"/>
        </w:rPr>
        <w:t>año?</w:t>
      </w:r>
      <w:r w:rsidRPr="009423EA">
        <w:rPr>
          <w:rFonts w:ascii="Calibri" w:eastAsia="Calibri" w:hAnsi="Calibri" w:cs="Times New Roman"/>
          <w:color w:val="1F497D" w:themeColor="text2"/>
          <w:sz w:val="28"/>
          <w:szCs w:val="28"/>
          <w:lang w:val="es-ES" w:eastAsia="en-US"/>
        </w:rPr>
        <w:t xml:space="preserve"> </w:t>
      </w:r>
    </w:p>
    <w:p w14:paraId="71A1AC97" w14:textId="4DB8B464"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En nuestro apreciado gráfico, que acumula meses con los resultados de los precios observados a lo largo del año, </w:t>
      </w:r>
      <w:r w:rsidR="00882A1F" w:rsidRPr="009423EA">
        <w:rPr>
          <w:rFonts w:ascii="Calibri" w:eastAsia="Calibri" w:hAnsi="Calibri" w:cs="Times New Roman"/>
          <w:color w:val="000000" w:themeColor="text1"/>
          <w:sz w:val="22"/>
          <w:szCs w:val="22"/>
          <w:lang w:val="es-AR" w:eastAsia="en-US"/>
        </w:rPr>
        <w:t xml:space="preserve">y que </w:t>
      </w:r>
      <w:r w:rsidRPr="009423EA">
        <w:rPr>
          <w:rFonts w:ascii="Calibri" w:eastAsia="Calibri" w:hAnsi="Calibri" w:cs="Times New Roman"/>
          <w:color w:val="000000" w:themeColor="text1"/>
          <w:sz w:val="22"/>
          <w:szCs w:val="22"/>
          <w:lang w:val="es-AR" w:eastAsia="en-US"/>
        </w:rPr>
        <w:t>c</w:t>
      </w:r>
      <w:r w:rsidR="00882A1F" w:rsidRPr="009423EA">
        <w:rPr>
          <w:rFonts w:ascii="Calibri" w:eastAsia="Calibri" w:hAnsi="Calibri" w:cs="Times New Roman"/>
          <w:color w:val="000000" w:themeColor="text1"/>
          <w:sz w:val="22"/>
          <w:szCs w:val="22"/>
          <w:lang w:val="es-AR" w:eastAsia="en-US"/>
        </w:rPr>
        <w:t>ierra</w:t>
      </w:r>
      <w:r w:rsidRPr="009423EA">
        <w:rPr>
          <w:rFonts w:ascii="Calibri" w:eastAsia="Calibri" w:hAnsi="Calibri" w:cs="Times New Roman"/>
          <w:color w:val="000000" w:themeColor="text1"/>
          <w:sz w:val="22"/>
          <w:szCs w:val="22"/>
          <w:lang w:val="es-AR" w:eastAsia="en-US"/>
        </w:rPr>
        <w:t xml:space="preserve"> en diciembre. </w:t>
      </w:r>
      <w:r w:rsidR="00776D38" w:rsidRPr="009423EA">
        <w:rPr>
          <w:rFonts w:ascii="Calibri" w:eastAsia="Calibri" w:hAnsi="Calibri" w:cs="Times New Roman"/>
          <w:color w:val="000000" w:themeColor="text1"/>
          <w:sz w:val="22"/>
          <w:szCs w:val="22"/>
          <w:lang w:val="es-AR" w:eastAsia="en-US"/>
        </w:rPr>
        <w:t xml:space="preserve"> </w:t>
      </w:r>
      <w:r w:rsidRPr="009423EA">
        <w:rPr>
          <w:rFonts w:ascii="Calibri" w:eastAsia="Calibri" w:hAnsi="Calibri" w:cs="Times New Roman"/>
          <w:color w:val="000000" w:themeColor="text1"/>
          <w:sz w:val="22"/>
          <w:szCs w:val="22"/>
          <w:lang w:val="es-AR" w:eastAsia="en-US"/>
        </w:rPr>
        <w:t>Por ahora contamos con un solo</w:t>
      </w:r>
      <w:r w:rsidRPr="009423EA">
        <w:rPr>
          <w:rFonts w:ascii="Calibri" w:eastAsia="Calibri" w:hAnsi="Calibri" w:cs="Times New Roman"/>
          <w:b/>
          <w:bCs/>
          <w:color w:val="000000" w:themeColor="text1"/>
          <w:sz w:val="22"/>
          <w:szCs w:val="22"/>
          <w:lang w:val="es-AR" w:eastAsia="en-US"/>
        </w:rPr>
        <w:t xml:space="preserve"> DOS </w:t>
      </w:r>
      <w:r w:rsidRPr="009423EA">
        <w:rPr>
          <w:rFonts w:ascii="Calibri" w:eastAsia="Calibri" w:hAnsi="Calibri" w:cs="Times New Roman"/>
          <w:color w:val="000000" w:themeColor="text1"/>
          <w:sz w:val="22"/>
          <w:szCs w:val="22"/>
          <w:lang w:val="es-AR" w:eastAsia="en-US"/>
        </w:rPr>
        <w:t xml:space="preserve">meses, </w:t>
      </w:r>
      <w:r w:rsidR="00882A1F" w:rsidRPr="009423EA">
        <w:rPr>
          <w:rFonts w:ascii="Calibri" w:eastAsia="Calibri" w:hAnsi="Calibri" w:cs="Times New Roman"/>
          <w:color w:val="000000" w:themeColor="text1"/>
          <w:sz w:val="22"/>
          <w:szCs w:val="22"/>
          <w:lang w:val="es-AR" w:eastAsia="en-US"/>
        </w:rPr>
        <w:t xml:space="preserve">pero </w:t>
      </w:r>
      <w:r w:rsidRPr="009423EA">
        <w:rPr>
          <w:rFonts w:ascii="Calibri" w:eastAsia="Calibri" w:hAnsi="Calibri" w:cs="Times New Roman"/>
          <w:color w:val="000000" w:themeColor="text1"/>
          <w:sz w:val="22"/>
          <w:szCs w:val="22"/>
          <w:lang w:val="es-AR" w:eastAsia="en-US"/>
        </w:rPr>
        <w:t>iremos acumula</w:t>
      </w:r>
      <w:r w:rsidR="00882A1F" w:rsidRPr="009423EA">
        <w:rPr>
          <w:rFonts w:ascii="Calibri" w:eastAsia="Calibri" w:hAnsi="Calibri" w:cs="Times New Roman"/>
          <w:color w:val="000000" w:themeColor="text1"/>
          <w:sz w:val="22"/>
          <w:szCs w:val="22"/>
          <w:lang w:val="es-AR" w:eastAsia="en-US"/>
        </w:rPr>
        <w:t>n</w:t>
      </w:r>
      <w:r w:rsidRPr="009423EA">
        <w:rPr>
          <w:rFonts w:ascii="Calibri" w:eastAsia="Calibri" w:hAnsi="Calibri" w:cs="Times New Roman"/>
          <w:color w:val="000000" w:themeColor="text1"/>
          <w:sz w:val="22"/>
          <w:szCs w:val="22"/>
          <w:lang w:val="es-AR" w:eastAsia="en-US"/>
        </w:rPr>
        <w:t>do en la misma medida que el almanaque.</w:t>
      </w:r>
    </w:p>
    <w:p w14:paraId="6267077A" w14:textId="77777777"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¿Cómo se fue configurando</w:t>
      </w:r>
      <w:r w:rsidRPr="009423EA">
        <w:rPr>
          <w:rFonts w:ascii="Calibri" w:eastAsia="Calibri" w:hAnsi="Calibri" w:cs="Times New Roman"/>
          <w:b/>
          <w:bCs/>
          <w:color w:val="000000" w:themeColor="text1"/>
          <w:sz w:val="22"/>
          <w:szCs w:val="22"/>
          <w:lang w:val="es-AR" w:eastAsia="en-US"/>
        </w:rPr>
        <w:t xml:space="preserve"> </w:t>
      </w:r>
      <w:r w:rsidRPr="009423EA">
        <w:rPr>
          <w:rFonts w:ascii="Calibri" w:eastAsia="Calibri" w:hAnsi="Calibri" w:cs="Times New Roman"/>
          <w:color w:val="000000" w:themeColor="text1"/>
          <w:sz w:val="22"/>
          <w:szCs w:val="22"/>
          <w:lang w:val="es-AR" w:eastAsia="en-US"/>
        </w:rPr>
        <w:t>Alimentos y Bebidas? Se lo presenta al gráfico con menos meses y números para que sea más claro y de paso se tranquiliza a algunos lectores críticos con el exceso de valores.</w:t>
      </w:r>
    </w:p>
    <w:p w14:paraId="2596BF72" w14:textId="6DC2F80A"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El acumulado </w:t>
      </w:r>
      <w:r w:rsidRPr="009423EA">
        <w:rPr>
          <w:rFonts w:ascii="Calibri" w:eastAsia="Calibri" w:hAnsi="Calibri" w:cs="Times New Roman"/>
          <w:b/>
          <w:bCs/>
          <w:color w:val="000000" w:themeColor="text1"/>
          <w:sz w:val="22"/>
          <w:szCs w:val="22"/>
          <w:u w:val="single"/>
          <w:lang w:val="es-AR" w:eastAsia="en-US"/>
        </w:rPr>
        <w:t xml:space="preserve">Alimentos y Bebidas </w:t>
      </w:r>
      <w:r w:rsidRPr="009423EA">
        <w:rPr>
          <w:rFonts w:ascii="Calibri" w:eastAsia="Calibri" w:hAnsi="Calibri" w:cs="Times New Roman"/>
          <w:color w:val="000000" w:themeColor="text1"/>
          <w:sz w:val="22"/>
          <w:szCs w:val="22"/>
          <w:lang w:val="es-AR" w:eastAsia="en-US"/>
        </w:rPr>
        <w:t xml:space="preserve">del </w:t>
      </w:r>
      <w:r w:rsidRPr="009423EA">
        <w:rPr>
          <w:rFonts w:ascii="Calibri" w:eastAsia="Calibri" w:hAnsi="Calibri" w:cs="Times New Roman"/>
          <w:b/>
          <w:bCs/>
          <w:color w:val="000000" w:themeColor="text1"/>
          <w:sz w:val="22"/>
          <w:szCs w:val="22"/>
          <w:lang w:val="es-AR" w:eastAsia="en-US"/>
        </w:rPr>
        <w:t xml:space="preserve">año 2019 </w:t>
      </w:r>
      <w:r w:rsidRPr="009423EA">
        <w:rPr>
          <w:rFonts w:ascii="Calibri" w:eastAsia="Calibri" w:hAnsi="Calibri" w:cs="Times New Roman"/>
          <w:color w:val="000000" w:themeColor="text1"/>
          <w:sz w:val="22"/>
          <w:szCs w:val="22"/>
          <w:lang w:val="es-AR" w:eastAsia="en-US"/>
        </w:rPr>
        <w:t xml:space="preserve">asciende al 55 %, supera el Nivel General y resulta similar al Tipo de Cambio; en el cierre del </w:t>
      </w:r>
      <w:r w:rsidRPr="009423EA">
        <w:rPr>
          <w:rFonts w:ascii="Calibri" w:eastAsia="Calibri" w:hAnsi="Calibri" w:cs="Times New Roman"/>
          <w:b/>
          <w:bCs/>
          <w:color w:val="000000" w:themeColor="text1"/>
          <w:sz w:val="22"/>
          <w:szCs w:val="22"/>
          <w:lang w:val="es-AR" w:eastAsia="en-US"/>
        </w:rPr>
        <w:t xml:space="preserve">2020 </w:t>
      </w:r>
      <w:r w:rsidRPr="009423EA">
        <w:rPr>
          <w:rFonts w:ascii="Calibri" w:eastAsia="Calibri" w:hAnsi="Calibri" w:cs="Times New Roman"/>
          <w:color w:val="000000" w:themeColor="text1"/>
          <w:sz w:val="22"/>
          <w:szCs w:val="22"/>
          <w:lang w:val="es-AR" w:eastAsia="en-US"/>
        </w:rPr>
        <w:t xml:space="preserve">alcanza el 42 % y supera al dólar. En el </w:t>
      </w:r>
      <w:r w:rsidRPr="009423EA">
        <w:rPr>
          <w:rFonts w:ascii="Calibri" w:eastAsia="Calibri" w:hAnsi="Calibri" w:cs="Times New Roman"/>
          <w:b/>
          <w:bCs/>
          <w:color w:val="000000" w:themeColor="text1"/>
          <w:sz w:val="22"/>
          <w:szCs w:val="22"/>
          <w:lang w:val="es-AR" w:eastAsia="en-US"/>
        </w:rPr>
        <w:t>2021</w:t>
      </w:r>
      <w:r w:rsidRPr="009423EA">
        <w:rPr>
          <w:rFonts w:ascii="Calibri" w:eastAsia="Calibri" w:hAnsi="Calibri" w:cs="Times New Roman"/>
          <w:color w:val="000000" w:themeColor="text1"/>
          <w:sz w:val="22"/>
          <w:szCs w:val="22"/>
          <w:lang w:val="es-AR" w:eastAsia="en-US"/>
        </w:rPr>
        <w:t xml:space="preserve"> cierra el año con un valor acumulado elevado. Transcurrido el </w:t>
      </w:r>
      <w:r w:rsidRPr="009423EA">
        <w:rPr>
          <w:rFonts w:ascii="Calibri" w:eastAsia="Calibri" w:hAnsi="Calibri" w:cs="Times New Roman"/>
          <w:b/>
          <w:bCs/>
          <w:color w:val="000000" w:themeColor="text1"/>
          <w:sz w:val="22"/>
          <w:szCs w:val="22"/>
          <w:lang w:val="es-AR" w:eastAsia="en-US"/>
        </w:rPr>
        <w:t xml:space="preserve">2021 </w:t>
      </w:r>
      <w:r w:rsidRPr="009423EA">
        <w:rPr>
          <w:rFonts w:ascii="Calibri" w:eastAsia="Calibri" w:hAnsi="Calibri" w:cs="Times New Roman"/>
          <w:color w:val="000000" w:themeColor="text1"/>
          <w:sz w:val="22"/>
          <w:szCs w:val="22"/>
          <w:lang w:val="es-AR" w:eastAsia="en-US"/>
        </w:rPr>
        <w:t xml:space="preserve">hay que poner los alertas en funcionamiento, ya que </w:t>
      </w:r>
      <w:r w:rsidRPr="009423EA">
        <w:rPr>
          <w:rFonts w:ascii="Calibri" w:eastAsia="Calibri" w:hAnsi="Calibri" w:cs="Times New Roman"/>
          <w:b/>
          <w:bCs/>
          <w:color w:val="000000" w:themeColor="text1"/>
          <w:sz w:val="22"/>
          <w:szCs w:val="22"/>
          <w:lang w:val="es-AR" w:eastAsia="en-US"/>
        </w:rPr>
        <w:t>Alimentos</w:t>
      </w:r>
      <w:r w:rsidRPr="009423EA">
        <w:rPr>
          <w:rFonts w:ascii="Calibri" w:eastAsia="Calibri" w:hAnsi="Calibri" w:cs="Times New Roman"/>
          <w:color w:val="000000" w:themeColor="text1"/>
          <w:sz w:val="22"/>
          <w:szCs w:val="22"/>
          <w:lang w:val="es-AR" w:eastAsia="en-US"/>
        </w:rPr>
        <w:t xml:space="preserve"> resultó notoriamente superior al dólar acumulado (el oficial) y al Nivel General en lo que va del año.</w:t>
      </w:r>
    </w:p>
    <w:p w14:paraId="233B3003" w14:textId="77777777"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Los fundamentos los encontramos en los aumentos en diversos productos, y no todos al mismo tiempo. Pero la diferencia es significativa.</w:t>
      </w:r>
    </w:p>
    <w:p w14:paraId="12EE16E1" w14:textId="4644A521"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¿Cuánto influyó el dólar oficial en este mes del 2022? ¿Y los otros dólares? </w:t>
      </w:r>
      <w:r w:rsidR="00776D38" w:rsidRPr="009423EA">
        <w:rPr>
          <w:rFonts w:ascii="Calibri" w:eastAsia="Calibri" w:hAnsi="Calibri" w:cs="Times New Roman"/>
          <w:color w:val="000000" w:themeColor="text1"/>
          <w:sz w:val="22"/>
          <w:szCs w:val="22"/>
          <w:lang w:val="es-AR" w:eastAsia="en-US"/>
        </w:rPr>
        <w:t xml:space="preserve"> </w:t>
      </w:r>
      <w:r w:rsidR="00882A1F" w:rsidRPr="009423EA">
        <w:rPr>
          <w:rFonts w:ascii="Calibri" w:eastAsia="Calibri" w:hAnsi="Calibri" w:cs="Times New Roman"/>
          <w:color w:val="000000" w:themeColor="text1"/>
          <w:sz w:val="22"/>
          <w:szCs w:val="22"/>
          <w:lang w:val="es-AR" w:eastAsia="en-US"/>
        </w:rPr>
        <w:t xml:space="preserve">Por lo menos se podría decir que </w:t>
      </w:r>
      <w:r w:rsidRPr="009423EA">
        <w:rPr>
          <w:rFonts w:ascii="Calibri" w:eastAsia="Calibri" w:hAnsi="Calibri" w:cs="Times New Roman"/>
          <w:color w:val="000000" w:themeColor="text1"/>
          <w:sz w:val="22"/>
          <w:szCs w:val="22"/>
          <w:lang w:val="es-AR" w:eastAsia="en-US"/>
        </w:rPr>
        <w:t xml:space="preserve">enero y febrero </w:t>
      </w:r>
      <w:r w:rsidR="00882A1F" w:rsidRPr="009423EA">
        <w:rPr>
          <w:rFonts w:ascii="Calibri" w:eastAsia="Calibri" w:hAnsi="Calibri" w:cs="Times New Roman"/>
          <w:color w:val="000000" w:themeColor="text1"/>
          <w:sz w:val="22"/>
          <w:szCs w:val="22"/>
          <w:lang w:val="es-AR" w:eastAsia="en-US"/>
        </w:rPr>
        <w:t xml:space="preserve">del </w:t>
      </w:r>
      <w:r w:rsidRPr="009423EA">
        <w:rPr>
          <w:rFonts w:ascii="Calibri" w:eastAsia="Calibri" w:hAnsi="Calibri" w:cs="Times New Roman"/>
          <w:color w:val="000000" w:themeColor="text1"/>
          <w:sz w:val="22"/>
          <w:szCs w:val="22"/>
          <w:lang w:val="es-AR" w:eastAsia="en-US"/>
        </w:rPr>
        <w:t>2022 se influyeron mutuamente y concluyeron con incrementos en el Capítulo Nivel General y Alimentos</w:t>
      </w:r>
      <w:r w:rsidR="00882A1F"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w:t>
      </w:r>
    </w:p>
    <w:p w14:paraId="52F07234" w14:textId="77777777"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Estas reflexiones tienen en cuenta el vuelco de la economía con la aparición del Covid-19, y dada esa situación el Capítulo de Alimentos y Bebidas es muy observado y sentido en los bolsillos. Los Salarios (estimando el mes con un aumento) quedan rezagados, PERO EN MENOR CUANTÍA QUE EN MESES ANTERIORES.</w:t>
      </w:r>
    </w:p>
    <w:p w14:paraId="6D5A2521" w14:textId="59DC71F1"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Con el Covid retrocediendo tendremos otro panorama que se irá desplegando en el 2022, pero como el mundo </w:t>
      </w:r>
      <w:r w:rsidR="00BA3611" w:rsidRPr="009423EA">
        <w:rPr>
          <w:rFonts w:ascii="Calibri" w:eastAsia="Calibri" w:hAnsi="Calibri" w:cs="Times New Roman"/>
          <w:color w:val="000000" w:themeColor="text1"/>
          <w:sz w:val="22"/>
          <w:szCs w:val="22"/>
          <w:lang w:val="es-AR" w:eastAsia="en-US"/>
        </w:rPr>
        <w:t>está</w:t>
      </w:r>
      <w:r w:rsidRPr="009423EA">
        <w:rPr>
          <w:rFonts w:ascii="Calibri" w:eastAsia="Calibri" w:hAnsi="Calibri" w:cs="Times New Roman"/>
          <w:color w:val="000000" w:themeColor="text1"/>
          <w:sz w:val="22"/>
          <w:szCs w:val="22"/>
          <w:lang w:val="es-AR" w:eastAsia="en-US"/>
        </w:rPr>
        <w:t xml:space="preserve"> convulsionado por la </w:t>
      </w:r>
      <w:r w:rsidR="00BA3611" w:rsidRPr="009423EA">
        <w:rPr>
          <w:rFonts w:ascii="Calibri" w:eastAsia="Calibri" w:hAnsi="Calibri" w:cs="Times New Roman"/>
          <w:color w:val="000000" w:themeColor="text1"/>
          <w:sz w:val="22"/>
          <w:szCs w:val="22"/>
          <w:lang w:val="es-AR" w:eastAsia="en-US"/>
        </w:rPr>
        <w:t>invasión</w:t>
      </w:r>
      <w:r w:rsidRPr="009423EA">
        <w:rPr>
          <w:rFonts w:ascii="Calibri" w:eastAsia="Calibri" w:hAnsi="Calibri" w:cs="Times New Roman"/>
          <w:color w:val="000000" w:themeColor="text1"/>
          <w:sz w:val="22"/>
          <w:szCs w:val="22"/>
          <w:lang w:val="es-AR" w:eastAsia="en-US"/>
        </w:rPr>
        <w:t xml:space="preserve"> a Ucrania, agrega un terremoto de consecuencias no </w:t>
      </w:r>
      <w:r w:rsidR="00BA3611" w:rsidRPr="009423EA">
        <w:rPr>
          <w:rFonts w:ascii="Calibri" w:eastAsia="Calibri" w:hAnsi="Calibri" w:cs="Times New Roman"/>
          <w:color w:val="000000" w:themeColor="text1"/>
          <w:sz w:val="22"/>
          <w:szCs w:val="22"/>
          <w:lang w:val="es-AR" w:eastAsia="en-US"/>
        </w:rPr>
        <w:t>mensurables</w:t>
      </w:r>
      <w:r w:rsidRPr="009423EA">
        <w:rPr>
          <w:rFonts w:ascii="Calibri" w:eastAsia="Calibri" w:hAnsi="Calibri" w:cs="Times New Roman"/>
          <w:color w:val="000000" w:themeColor="text1"/>
          <w:sz w:val="22"/>
          <w:szCs w:val="22"/>
          <w:lang w:val="es-AR" w:eastAsia="en-US"/>
        </w:rPr>
        <w:t>.</w:t>
      </w:r>
    </w:p>
    <w:p w14:paraId="3B963E46" w14:textId="764B83E9" w:rsidR="00194852" w:rsidRPr="009423EA" w:rsidRDefault="00041ABC" w:rsidP="00E91E95">
      <w:pPr>
        <w:spacing w:after="160" w:line="259" w:lineRule="auto"/>
        <w:jc w:val="both"/>
        <w:rPr>
          <w:rFonts w:ascii="Calibri" w:eastAsia="Calibri" w:hAnsi="Calibri" w:cs="Times New Roman"/>
          <w:color w:val="000000" w:themeColor="text1"/>
          <w:sz w:val="22"/>
          <w:szCs w:val="22"/>
          <w:lang w:val="es-ES" w:eastAsia="en-US"/>
        </w:rPr>
      </w:pPr>
      <w:r>
        <w:rPr>
          <w:rFonts w:ascii="Calibri" w:eastAsia="Calibri" w:hAnsi="Calibri" w:cs="Times New Roman"/>
          <w:noProof/>
          <w:color w:val="000000" w:themeColor="text1"/>
          <w:sz w:val="22"/>
          <w:szCs w:val="22"/>
          <w:lang w:val="es-AR" w:eastAsia="es-AR"/>
        </w:rPr>
        <w:lastRenderedPageBreak/>
        <w:drawing>
          <wp:inline distT="0" distB="0" distL="0" distR="0" wp14:anchorId="7BCFABFB" wp14:editId="488DFB04">
            <wp:extent cx="4466654" cy="324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6654" cy="3240000"/>
                    </a:xfrm>
                    <a:prstGeom prst="rect">
                      <a:avLst/>
                    </a:prstGeom>
                    <a:noFill/>
                  </pic:spPr>
                </pic:pic>
              </a:graphicData>
            </a:graphic>
          </wp:inline>
        </w:drawing>
      </w:r>
    </w:p>
    <w:p w14:paraId="3ED09C92" w14:textId="4E3A1DC3" w:rsidR="00945873" w:rsidRPr="009423EA" w:rsidRDefault="0086039A" w:rsidP="00945873">
      <w:pPr>
        <w:spacing w:after="160" w:line="259" w:lineRule="auto"/>
        <w:jc w:val="both"/>
        <w:rPr>
          <w:rFonts w:ascii="Calibri" w:eastAsia="Calibri" w:hAnsi="Calibri" w:cs="Times New Roman"/>
          <w:b/>
          <w:bCs/>
          <w:color w:val="1F497D" w:themeColor="text2"/>
          <w:sz w:val="28"/>
          <w:szCs w:val="28"/>
          <w:lang w:val="es-ES" w:eastAsia="en-US"/>
        </w:rPr>
      </w:pPr>
      <w:r w:rsidRPr="009423EA">
        <w:rPr>
          <w:rFonts w:ascii="Calibri" w:eastAsia="Calibri" w:hAnsi="Calibri" w:cs="Times New Roman"/>
          <w:b/>
          <w:bCs/>
          <w:color w:val="1F497D" w:themeColor="text2"/>
          <w:sz w:val="28"/>
          <w:szCs w:val="28"/>
          <w:lang w:val="es-ES" w:eastAsia="en-US"/>
        </w:rPr>
        <w:t>Mensual en menor plazo: Reducimos los gráficos a</w:t>
      </w:r>
      <w:r w:rsidR="009031F8" w:rsidRPr="009423EA">
        <w:rPr>
          <w:rFonts w:ascii="Calibri" w:eastAsia="Calibri" w:hAnsi="Calibri" w:cs="Times New Roman"/>
          <w:b/>
          <w:bCs/>
          <w:color w:val="1F497D" w:themeColor="text2"/>
          <w:sz w:val="28"/>
          <w:szCs w:val="28"/>
          <w:lang w:val="es-ES" w:eastAsia="en-US"/>
        </w:rPr>
        <w:t>l último mes</w:t>
      </w:r>
      <w:r w:rsidRPr="009423EA">
        <w:rPr>
          <w:rFonts w:ascii="Calibri" w:eastAsia="Calibri" w:hAnsi="Calibri" w:cs="Times New Roman"/>
          <w:b/>
          <w:bCs/>
          <w:color w:val="1F497D" w:themeColor="text2"/>
          <w:sz w:val="28"/>
          <w:szCs w:val="28"/>
          <w:lang w:val="es-ES" w:eastAsia="en-US"/>
        </w:rPr>
        <w:t xml:space="preserve"> </w:t>
      </w:r>
      <w:r w:rsidR="00A7163D" w:rsidRPr="009423EA">
        <w:rPr>
          <w:rFonts w:ascii="Calibri" w:eastAsia="Calibri" w:hAnsi="Calibri" w:cs="Times New Roman"/>
          <w:b/>
          <w:bCs/>
          <w:color w:val="1F497D" w:themeColor="text2"/>
          <w:sz w:val="28"/>
          <w:szCs w:val="28"/>
          <w:lang w:val="es-ES" w:eastAsia="en-US"/>
        </w:rPr>
        <w:t>de</w:t>
      </w:r>
      <w:r w:rsidR="000C3D4F" w:rsidRPr="009423EA">
        <w:rPr>
          <w:rFonts w:ascii="Calibri" w:eastAsia="Calibri" w:hAnsi="Calibri" w:cs="Times New Roman"/>
          <w:b/>
          <w:bCs/>
          <w:color w:val="1F497D" w:themeColor="text2"/>
          <w:sz w:val="28"/>
          <w:szCs w:val="28"/>
          <w:lang w:val="es-ES" w:eastAsia="en-US"/>
        </w:rPr>
        <w:t>l</w:t>
      </w:r>
      <w:r w:rsidR="000757F1" w:rsidRPr="009423EA">
        <w:rPr>
          <w:rFonts w:ascii="Calibri" w:eastAsia="Calibri" w:hAnsi="Calibri" w:cs="Times New Roman"/>
          <w:b/>
          <w:bCs/>
          <w:color w:val="1F497D" w:themeColor="text2"/>
          <w:sz w:val="28"/>
          <w:szCs w:val="28"/>
          <w:lang w:val="es-ES" w:eastAsia="en-US"/>
        </w:rPr>
        <w:t xml:space="preserve"> 2019 y hasta </w:t>
      </w:r>
      <w:r w:rsidR="001D16AD" w:rsidRPr="009423EA">
        <w:rPr>
          <w:rFonts w:ascii="Calibri" w:eastAsia="Calibri" w:hAnsi="Calibri" w:cs="Times New Roman"/>
          <w:b/>
          <w:bCs/>
          <w:color w:val="1F497D" w:themeColor="text2"/>
          <w:sz w:val="28"/>
          <w:szCs w:val="28"/>
          <w:lang w:val="es-ES" w:eastAsia="en-US"/>
        </w:rPr>
        <w:t>febrero</w:t>
      </w:r>
      <w:r w:rsidR="00BC55D2" w:rsidRPr="009423EA">
        <w:rPr>
          <w:rFonts w:ascii="Calibri" w:eastAsia="Calibri" w:hAnsi="Calibri" w:cs="Times New Roman"/>
          <w:b/>
          <w:bCs/>
          <w:color w:val="1F497D" w:themeColor="text2"/>
          <w:sz w:val="28"/>
          <w:szCs w:val="28"/>
          <w:lang w:val="es-ES" w:eastAsia="en-US"/>
        </w:rPr>
        <w:t xml:space="preserve"> </w:t>
      </w:r>
      <w:r w:rsidR="004E1DB8" w:rsidRPr="009423EA">
        <w:rPr>
          <w:rFonts w:ascii="Calibri" w:eastAsia="Calibri" w:hAnsi="Calibri" w:cs="Times New Roman"/>
          <w:b/>
          <w:bCs/>
          <w:color w:val="1F497D" w:themeColor="text2"/>
          <w:sz w:val="28"/>
          <w:szCs w:val="28"/>
          <w:lang w:val="es-ES" w:eastAsia="en-US"/>
        </w:rPr>
        <w:t>de</w:t>
      </w:r>
      <w:r w:rsidR="000C3D4F" w:rsidRPr="009423EA">
        <w:rPr>
          <w:rFonts w:ascii="Calibri" w:eastAsia="Calibri" w:hAnsi="Calibri" w:cs="Times New Roman"/>
          <w:b/>
          <w:bCs/>
          <w:color w:val="1F497D" w:themeColor="text2"/>
          <w:sz w:val="28"/>
          <w:szCs w:val="28"/>
          <w:lang w:val="es-ES" w:eastAsia="en-US"/>
        </w:rPr>
        <w:t>l</w:t>
      </w:r>
      <w:r w:rsidR="004E1DB8" w:rsidRPr="009423EA">
        <w:rPr>
          <w:rFonts w:ascii="Calibri" w:eastAsia="Calibri" w:hAnsi="Calibri" w:cs="Times New Roman"/>
          <w:b/>
          <w:bCs/>
          <w:color w:val="1F497D" w:themeColor="text2"/>
          <w:sz w:val="28"/>
          <w:szCs w:val="28"/>
          <w:lang w:val="es-ES" w:eastAsia="en-US"/>
        </w:rPr>
        <w:t xml:space="preserve"> </w:t>
      </w:r>
      <w:r w:rsidRPr="009423EA">
        <w:rPr>
          <w:rFonts w:ascii="Calibri" w:eastAsia="Calibri" w:hAnsi="Calibri" w:cs="Times New Roman"/>
          <w:b/>
          <w:bCs/>
          <w:color w:val="1F497D" w:themeColor="text2"/>
          <w:sz w:val="28"/>
          <w:szCs w:val="28"/>
          <w:lang w:val="es-ES" w:eastAsia="en-US"/>
        </w:rPr>
        <w:t>202</w:t>
      </w:r>
      <w:r w:rsidR="00BC55D2" w:rsidRPr="009423EA">
        <w:rPr>
          <w:rFonts w:ascii="Calibri" w:eastAsia="Calibri" w:hAnsi="Calibri" w:cs="Times New Roman"/>
          <w:b/>
          <w:bCs/>
          <w:color w:val="1F497D" w:themeColor="text2"/>
          <w:sz w:val="28"/>
          <w:szCs w:val="28"/>
          <w:lang w:val="es-ES" w:eastAsia="en-US"/>
        </w:rPr>
        <w:t>2</w:t>
      </w:r>
      <w:r w:rsidRPr="009423EA">
        <w:rPr>
          <w:rFonts w:ascii="Calibri" w:eastAsia="Calibri" w:hAnsi="Calibri" w:cs="Times New Roman"/>
          <w:b/>
          <w:bCs/>
          <w:color w:val="1F497D" w:themeColor="text2"/>
          <w:sz w:val="28"/>
          <w:szCs w:val="28"/>
          <w:lang w:val="es-ES" w:eastAsia="en-US"/>
        </w:rPr>
        <w:t xml:space="preserve"> para observar detalles</w:t>
      </w:r>
      <w:r w:rsidR="00BF7618" w:rsidRPr="009423EA">
        <w:rPr>
          <w:rFonts w:ascii="Calibri" w:eastAsia="Calibri" w:hAnsi="Calibri" w:cs="Times New Roman"/>
          <w:b/>
          <w:bCs/>
          <w:color w:val="1F497D" w:themeColor="text2"/>
          <w:sz w:val="28"/>
          <w:szCs w:val="28"/>
          <w:lang w:val="es-ES" w:eastAsia="en-US"/>
        </w:rPr>
        <w:t>.</w:t>
      </w:r>
    </w:p>
    <w:p w14:paraId="662DCDF0" w14:textId="79E031DC" w:rsidR="008F4970" w:rsidRPr="009423EA" w:rsidRDefault="00EB2854"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En estas variaciones mensuales e</w:t>
      </w:r>
      <w:r w:rsidR="008F4970" w:rsidRPr="009423EA">
        <w:rPr>
          <w:rFonts w:ascii="Calibri" w:eastAsia="Calibri" w:hAnsi="Calibri" w:cs="Times New Roman"/>
          <w:bCs/>
          <w:color w:val="000000" w:themeColor="text1"/>
          <w:sz w:val="22"/>
          <w:szCs w:val="22"/>
          <w:lang w:val="es-ES" w:eastAsia="en-US"/>
        </w:rPr>
        <w:t xml:space="preserve">l dólar, después de los saltos de los dos años anteriores, reduce sus movimientos abruptos. Nos referimos al oficial exclusivamente. El "peso (dólar)" del mes 2022 se deprecia 2.4 % respecto del mes anterior, o sea mantiene </w:t>
      </w:r>
      <w:r w:rsidRPr="009423EA">
        <w:rPr>
          <w:rFonts w:ascii="Calibri" w:eastAsia="Calibri" w:hAnsi="Calibri" w:cs="Times New Roman"/>
          <w:bCs/>
          <w:color w:val="000000" w:themeColor="text1"/>
          <w:sz w:val="22"/>
          <w:szCs w:val="22"/>
          <w:lang w:val="es-ES" w:eastAsia="en-US"/>
        </w:rPr>
        <w:t xml:space="preserve">la </w:t>
      </w:r>
      <w:r w:rsidR="008F4970" w:rsidRPr="009423EA">
        <w:rPr>
          <w:rFonts w:ascii="Calibri" w:eastAsia="Calibri" w:hAnsi="Calibri" w:cs="Times New Roman"/>
          <w:bCs/>
          <w:color w:val="000000" w:themeColor="text1"/>
          <w:sz w:val="22"/>
          <w:szCs w:val="22"/>
          <w:lang w:val="es-ES" w:eastAsia="en-US"/>
        </w:rPr>
        <w:t xml:space="preserve">calma y acompaña a los precios con paso lento. Se observa que desde octubre </w:t>
      </w:r>
      <w:r w:rsidRPr="009423EA">
        <w:rPr>
          <w:rFonts w:ascii="Calibri" w:eastAsia="Calibri" w:hAnsi="Calibri" w:cs="Times New Roman"/>
          <w:bCs/>
          <w:color w:val="000000" w:themeColor="text1"/>
          <w:sz w:val="22"/>
          <w:szCs w:val="22"/>
          <w:lang w:val="es-ES" w:eastAsia="en-US"/>
        </w:rPr>
        <w:t xml:space="preserve">del </w:t>
      </w:r>
      <w:r w:rsidR="008F4970" w:rsidRPr="009423EA">
        <w:rPr>
          <w:rFonts w:ascii="Calibri" w:eastAsia="Calibri" w:hAnsi="Calibri" w:cs="Times New Roman"/>
          <w:bCs/>
          <w:color w:val="000000" w:themeColor="text1"/>
          <w:sz w:val="22"/>
          <w:szCs w:val="22"/>
          <w:lang w:val="es-ES" w:eastAsia="en-US"/>
        </w:rPr>
        <w:t>2021 el dólar claramente detenta un sendero de lenta suba, por lo menos hasta el mes actual.</w:t>
      </w:r>
    </w:p>
    <w:p w14:paraId="06427005" w14:textId="77777777"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Siempre se encuentran explicaciones para las alzas y bajas de las variables que observamos. </w:t>
      </w:r>
    </w:p>
    <w:p w14:paraId="3DD01EA6" w14:textId="2BAC112D"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En este caso en los precio</w:t>
      </w:r>
      <w:r w:rsidR="00EB2854" w:rsidRPr="009423EA">
        <w:rPr>
          <w:rFonts w:ascii="Calibri" w:eastAsia="Calibri" w:hAnsi="Calibri" w:cs="Times New Roman"/>
          <w:bCs/>
          <w:color w:val="000000" w:themeColor="text1"/>
          <w:sz w:val="22"/>
          <w:szCs w:val="22"/>
          <w:lang w:val="es-ES" w:eastAsia="en-US"/>
        </w:rPr>
        <w:t>s. E</w:t>
      </w:r>
      <w:r w:rsidRPr="009423EA">
        <w:rPr>
          <w:rFonts w:ascii="Calibri" w:eastAsia="Calibri" w:hAnsi="Calibri" w:cs="Times New Roman"/>
          <w:bCs/>
          <w:color w:val="000000" w:themeColor="text1"/>
          <w:sz w:val="22"/>
          <w:szCs w:val="22"/>
          <w:lang w:val="es-ES" w:eastAsia="en-US"/>
        </w:rPr>
        <w:t>n el 2018 nos quedamos sin crédito y empezó a tallar el FMI; en el 2019 surgió el golpazo de las Paso, y luego la elección General. Ahora tenemos las consecuencias del Covid-19 con caída y recuperación</w:t>
      </w:r>
      <w:r w:rsidR="00EB2854"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y agregamos la invasión a Ucrania como factor externo.</w:t>
      </w:r>
    </w:p>
    <w:p w14:paraId="74348DEF" w14:textId="0905B945"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La marcha del dólar se aprecia en la línea cortada roja y se superpone con </w:t>
      </w:r>
      <w:r w:rsidR="00BA3611" w:rsidRPr="009423EA">
        <w:rPr>
          <w:rFonts w:ascii="Calibri" w:eastAsia="Calibri" w:hAnsi="Calibri" w:cs="Times New Roman"/>
          <w:bCs/>
          <w:color w:val="000000" w:themeColor="text1"/>
          <w:sz w:val="22"/>
          <w:szCs w:val="22"/>
          <w:lang w:val="es-ES" w:eastAsia="en-US"/>
        </w:rPr>
        <w:t>línea</w:t>
      </w:r>
      <w:r w:rsidRPr="009423EA">
        <w:rPr>
          <w:rFonts w:ascii="Calibri" w:eastAsia="Calibri" w:hAnsi="Calibri" w:cs="Times New Roman"/>
          <w:bCs/>
          <w:color w:val="000000" w:themeColor="text1"/>
          <w:sz w:val="22"/>
          <w:szCs w:val="22"/>
          <w:lang w:val="es-ES" w:eastAsia="en-US"/>
        </w:rPr>
        <w:t xml:space="preserve"> verde que corresponde a las variaciones del IPC Nivel General</w:t>
      </w:r>
      <w:r w:rsidR="00EB2854" w:rsidRPr="009423EA">
        <w:rPr>
          <w:rFonts w:ascii="Calibri" w:eastAsia="Calibri" w:hAnsi="Calibri" w:cs="Times New Roman"/>
          <w:bCs/>
          <w:color w:val="000000" w:themeColor="text1"/>
          <w:sz w:val="22"/>
          <w:szCs w:val="22"/>
          <w:lang w:val="es-ES" w:eastAsia="en-US"/>
        </w:rPr>
        <w:t>. En esta ocasión</w:t>
      </w:r>
      <w:r w:rsidRPr="009423EA">
        <w:rPr>
          <w:rFonts w:ascii="Calibri" w:eastAsia="Calibri" w:hAnsi="Calibri" w:cs="Times New Roman"/>
          <w:bCs/>
          <w:color w:val="000000" w:themeColor="text1"/>
          <w:sz w:val="22"/>
          <w:szCs w:val="22"/>
          <w:lang w:val="es-ES" w:eastAsia="en-US"/>
        </w:rPr>
        <w:t xml:space="preserve"> tomamos el dato del IPEC Santa Fe, incluimos también los salarios, pero </w:t>
      </w:r>
      <w:r w:rsidR="00BA3611" w:rsidRPr="009423EA">
        <w:rPr>
          <w:rFonts w:ascii="Calibri" w:eastAsia="Calibri" w:hAnsi="Calibri" w:cs="Times New Roman"/>
          <w:bCs/>
          <w:color w:val="000000" w:themeColor="text1"/>
          <w:sz w:val="22"/>
          <w:szCs w:val="22"/>
          <w:lang w:val="es-ES" w:eastAsia="en-US"/>
        </w:rPr>
        <w:t>estimando</w:t>
      </w:r>
      <w:r w:rsidRPr="009423EA">
        <w:rPr>
          <w:rFonts w:ascii="Calibri" w:eastAsia="Calibri" w:hAnsi="Calibri" w:cs="Times New Roman"/>
          <w:bCs/>
          <w:color w:val="000000" w:themeColor="text1"/>
          <w:sz w:val="22"/>
          <w:szCs w:val="22"/>
          <w:lang w:val="es-ES" w:eastAsia="en-US"/>
        </w:rPr>
        <w:t xml:space="preserve"> los dos últimos meses.</w:t>
      </w:r>
    </w:p>
    <w:p w14:paraId="1F35FC8B" w14:textId="34BE65BB"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Evidentemente extraer conclusiones "tajantes" de estas variables no resulta sencillo. La más obvi</w:t>
      </w:r>
      <w:r w:rsidR="00EB2854" w:rsidRPr="009423EA">
        <w:rPr>
          <w:rFonts w:ascii="Calibri" w:eastAsia="Calibri" w:hAnsi="Calibri" w:cs="Times New Roman"/>
          <w:bCs/>
          <w:color w:val="000000" w:themeColor="text1"/>
          <w:sz w:val="22"/>
          <w:szCs w:val="22"/>
          <w:lang w:val="es-ES" w:eastAsia="en-US"/>
        </w:rPr>
        <w:t xml:space="preserve">a, precios, inflación, salarios </w:t>
      </w:r>
      <w:r w:rsidRPr="009423EA">
        <w:rPr>
          <w:rFonts w:ascii="Calibri" w:eastAsia="Calibri" w:hAnsi="Calibri" w:cs="Times New Roman"/>
          <w:bCs/>
          <w:color w:val="000000" w:themeColor="text1"/>
          <w:sz w:val="22"/>
          <w:szCs w:val="22"/>
          <w:lang w:val="es-ES" w:eastAsia="en-US"/>
        </w:rPr>
        <w:t>y dólar se alimentan recíprocamente. ¿Qué otras variables deb</w:t>
      </w:r>
      <w:r w:rsidR="00EB2854" w:rsidRPr="009423EA">
        <w:rPr>
          <w:rFonts w:ascii="Calibri" w:eastAsia="Calibri" w:hAnsi="Calibri" w:cs="Times New Roman"/>
          <w:bCs/>
          <w:color w:val="000000" w:themeColor="text1"/>
          <w:sz w:val="22"/>
          <w:szCs w:val="22"/>
          <w:lang w:val="es-ES" w:eastAsia="en-US"/>
        </w:rPr>
        <w:t>e</w:t>
      </w:r>
      <w:r w:rsidRPr="009423EA">
        <w:rPr>
          <w:rFonts w:ascii="Calibri" w:eastAsia="Calibri" w:hAnsi="Calibri" w:cs="Times New Roman"/>
          <w:bCs/>
          <w:color w:val="000000" w:themeColor="text1"/>
          <w:sz w:val="22"/>
          <w:szCs w:val="22"/>
          <w:lang w:val="es-ES" w:eastAsia="en-US"/>
        </w:rPr>
        <w:t>r</w:t>
      </w:r>
      <w:r w:rsidR="00EB2854" w:rsidRPr="009423EA">
        <w:rPr>
          <w:rFonts w:ascii="Calibri" w:eastAsia="Calibri" w:hAnsi="Calibri" w:cs="Times New Roman"/>
          <w:bCs/>
          <w:color w:val="000000" w:themeColor="text1"/>
          <w:sz w:val="22"/>
          <w:szCs w:val="22"/>
          <w:lang w:val="es-ES" w:eastAsia="en-US"/>
        </w:rPr>
        <w:t>í</w:t>
      </w:r>
      <w:r w:rsidRPr="009423EA">
        <w:rPr>
          <w:rFonts w:ascii="Calibri" w:eastAsia="Calibri" w:hAnsi="Calibri" w:cs="Times New Roman"/>
          <w:bCs/>
          <w:color w:val="000000" w:themeColor="text1"/>
          <w:sz w:val="22"/>
          <w:szCs w:val="22"/>
          <w:lang w:val="es-ES" w:eastAsia="en-US"/>
        </w:rPr>
        <w:t>amos incluir? ¿Expectativas, demanda, emisión?  Pero ya con las anteriores parece suficiente.</w:t>
      </w:r>
    </w:p>
    <w:p w14:paraId="381A972D" w14:textId="7C592D56" w:rsidR="00194852" w:rsidRPr="009423EA" w:rsidRDefault="00041ABC" w:rsidP="00E91E95">
      <w:pPr>
        <w:spacing w:after="160" w:line="259" w:lineRule="auto"/>
        <w:jc w:val="both"/>
        <w:rPr>
          <w:rFonts w:ascii="Calibri" w:eastAsia="Calibri" w:hAnsi="Calibri" w:cs="Times New Roman"/>
          <w:bCs/>
          <w:color w:val="000000" w:themeColor="text1"/>
          <w:sz w:val="22"/>
          <w:szCs w:val="22"/>
          <w:lang w:val="es-ES" w:eastAsia="en-US"/>
        </w:rPr>
      </w:pPr>
      <w:r>
        <w:rPr>
          <w:rFonts w:ascii="Calibri" w:eastAsia="Calibri" w:hAnsi="Calibri" w:cs="Times New Roman"/>
          <w:bCs/>
          <w:noProof/>
          <w:color w:val="000000" w:themeColor="text1"/>
          <w:sz w:val="22"/>
          <w:szCs w:val="22"/>
          <w:lang w:val="es-AR" w:eastAsia="es-AR"/>
        </w:rPr>
        <w:lastRenderedPageBreak/>
        <w:drawing>
          <wp:inline distT="0" distB="0" distL="0" distR="0" wp14:anchorId="65976EFB" wp14:editId="0043107B">
            <wp:extent cx="4960976" cy="324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0976" cy="3240000"/>
                    </a:xfrm>
                    <a:prstGeom prst="rect">
                      <a:avLst/>
                    </a:prstGeom>
                    <a:noFill/>
                  </pic:spPr>
                </pic:pic>
              </a:graphicData>
            </a:graphic>
          </wp:inline>
        </w:drawing>
      </w:r>
    </w:p>
    <w:p w14:paraId="21E2122D" w14:textId="70FD2676" w:rsidR="008D7450" w:rsidRPr="009423EA" w:rsidRDefault="0086039A" w:rsidP="00E91E95">
      <w:pPr>
        <w:spacing w:after="160" w:line="259" w:lineRule="auto"/>
        <w:jc w:val="both"/>
        <w:rPr>
          <w:rFonts w:ascii="Calibri" w:eastAsia="Calibri" w:hAnsi="Calibri" w:cs="Times New Roman"/>
          <w:b/>
          <w:bCs/>
          <w:color w:val="1F497D" w:themeColor="text2"/>
          <w:sz w:val="28"/>
          <w:szCs w:val="28"/>
          <w:lang w:val="es-AR" w:eastAsia="en-US"/>
        </w:rPr>
      </w:pPr>
      <w:r w:rsidRPr="009423EA">
        <w:rPr>
          <w:rFonts w:ascii="Calibri" w:eastAsia="Calibri" w:hAnsi="Calibri" w:cs="Times New Roman"/>
          <w:b/>
          <w:bCs/>
          <w:color w:val="1F497D" w:themeColor="text2"/>
          <w:sz w:val="28"/>
          <w:szCs w:val="28"/>
          <w:lang w:val="es-AR" w:eastAsia="en-US"/>
        </w:rPr>
        <w:t>Variaciones en 12 meses</w:t>
      </w:r>
      <w:r w:rsidR="00A72ABA" w:rsidRPr="009423EA">
        <w:rPr>
          <w:rFonts w:ascii="Calibri" w:eastAsia="Calibri" w:hAnsi="Calibri" w:cs="Times New Roman"/>
          <w:b/>
          <w:bCs/>
          <w:color w:val="1F497D" w:themeColor="text2"/>
          <w:sz w:val="28"/>
          <w:szCs w:val="28"/>
          <w:lang w:val="es-AR" w:eastAsia="en-US"/>
        </w:rPr>
        <w:t xml:space="preserve"> (interanual) </w:t>
      </w:r>
      <w:r w:rsidRPr="009423EA">
        <w:rPr>
          <w:rFonts w:ascii="Calibri" w:eastAsia="Calibri" w:hAnsi="Calibri" w:cs="Times New Roman"/>
          <w:b/>
          <w:bCs/>
          <w:color w:val="1F497D" w:themeColor="text2"/>
          <w:sz w:val="28"/>
          <w:szCs w:val="28"/>
          <w:lang w:val="es-AR" w:eastAsia="en-US"/>
        </w:rPr>
        <w:t>y otro gráfico para agarrarse de los pelos</w:t>
      </w:r>
      <w:r w:rsidR="0005778D" w:rsidRPr="009423EA">
        <w:rPr>
          <w:rFonts w:ascii="Calibri" w:eastAsia="Calibri" w:hAnsi="Calibri" w:cs="Times New Roman"/>
          <w:b/>
          <w:bCs/>
          <w:color w:val="1F497D" w:themeColor="text2"/>
          <w:sz w:val="28"/>
          <w:szCs w:val="28"/>
          <w:lang w:val="es-AR" w:eastAsia="en-US"/>
        </w:rPr>
        <w:t>, menor lapso</w:t>
      </w:r>
      <w:r w:rsidRPr="009423EA">
        <w:rPr>
          <w:rFonts w:ascii="Calibri" w:eastAsia="Calibri" w:hAnsi="Calibri" w:cs="Times New Roman"/>
          <w:b/>
          <w:bCs/>
          <w:color w:val="1F497D" w:themeColor="text2"/>
          <w:sz w:val="28"/>
          <w:szCs w:val="28"/>
          <w:lang w:val="es-AR" w:eastAsia="en-US"/>
        </w:rPr>
        <w:t xml:space="preserve">: </w:t>
      </w:r>
    </w:p>
    <w:p w14:paraId="73A840A6" w14:textId="4B78CEC0"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Menor número de datos para observar detalles y no marearse con el gráfico, a pesar del cúmulo de </w:t>
      </w:r>
      <w:r w:rsidR="00776D38" w:rsidRPr="009423EA">
        <w:rPr>
          <w:rFonts w:ascii="Calibri" w:eastAsia="Calibri" w:hAnsi="Calibri" w:cs="Times New Roman"/>
          <w:bCs/>
          <w:color w:val="000000" w:themeColor="text1"/>
          <w:sz w:val="22"/>
          <w:szCs w:val="22"/>
          <w:lang w:val="es-AR" w:eastAsia="en-US"/>
        </w:rPr>
        <w:t>valores</w:t>
      </w:r>
      <w:r w:rsidRPr="009423EA">
        <w:rPr>
          <w:rFonts w:ascii="Calibri" w:eastAsia="Calibri" w:hAnsi="Calibri" w:cs="Times New Roman"/>
          <w:bCs/>
          <w:color w:val="000000" w:themeColor="text1"/>
          <w:sz w:val="22"/>
          <w:szCs w:val="22"/>
          <w:lang w:val="es-AR" w:eastAsia="en-US"/>
        </w:rPr>
        <w:t xml:space="preserve">. En el año 2018 recordemos, el dólar resultó imparable por la depreciación del peso y arrastró valores elevados en el 2019, pero muestra tendencia decreciente que culmina con la aplicación del </w:t>
      </w:r>
      <w:r w:rsidRPr="009423EA">
        <w:rPr>
          <w:rFonts w:ascii="Calibri" w:eastAsia="Calibri" w:hAnsi="Calibri" w:cs="Times New Roman"/>
          <w:b/>
          <w:bCs/>
          <w:color w:val="000000" w:themeColor="text1"/>
          <w:sz w:val="22"/>
          <w:szCs w:val="22"/>
          <w:lang w:val="es-AR" w:eastAsia="en-US"/>
        </w:rPr>
        <w:t>cepo</w:t>
      </w:r>
      <w:r w:rsidRPr="009423EA">
        <w:rPr>
          <w:rFonts w:ascii="Calibri" w:eastAsia="Calibri" w:hAnsi="Calibri" w:cs="Times New Roman"/>
          <w:bCs/>
          <w:color w:val="000000" w:themeColor="text1"/>
          <w:sz w:val="22"/>
          <w:szCs w:val="22"/>
          <w:lang w:val="es-AR" w:eastAsia="en-US"/>
        </w:rPr>
        <w:t xml:space="preserve"> en los últimos meses y se extiende con ajustes duros en el 2020, 2021 y suponemos que seguirá en el 2022 como hasta el momento.</w:t>
      </w:r>
    </w:p>
    <w:p w14:paraId="18C5218F" w14:textId="5A57C8E1"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En el mes, por ahora se domesticaron los bríos del dólar oficial, no se observan variaciones bruscas desde hace varios meses, pero siempre manteniendo elevada la guardia y e</w:t>
      </w:r>
      <w:r w:rsidR="00EB2854" w:rsidRPr="009423EA">
        <w:rPr>
          <w:rFonts w:ascii="Calibri" w:eastAsia="Calibri" w:hAnsi="Calibri" w:cs="Times New Roman"/>
          <w:bCs/>
          <w:color w:val="000000" w:themeColor="text1"/>
          <w:sz w:val="22"/>
          <w:szCs w:val="22"/>
          <w:lang w:val="es-AR" w:eastAsia="en-US"/>
        </w:rPr>
        <w:t>l</w:t>
      </w:r>
      <w:r w:rsidRPr="009423EA">
        <w:rPr>
          <w:rFonts w:ascii="Calibri" w:eastAsia="Calibri" w:hAnsi="Calibri" w:cs="Times New Roman"/>
          <w:bCs/>
          <w:color w:val="000000" w:themeColor="text1"/>
          <w:sz w:val="22"/>
          <w:szCs w:val="22"/>
          <w:lang w:val="es-AR" w:eastAsia="en-US"/>
        </w:rPr>
        <w:t xml:space="preserve"> porcentual que analizamos a/a</w:t>
      </w:r>
      <w:r w:rsidR="00EB2854" w:rsidRPr="009423EA">
        <w:rPr>
          <w:rFonts w:ascii="Calibri" w:eastAsia="Calibri" w:hAnsi="Calibri" w:cs="Times New Roman"/>
          <w:bCs/>
          <w:color w:val="000000" w:themeColor="text1"/>
          <w:sz w:val="22"/>
          <w:szCs w:val="22"/>
          <w:lang w:val="es-AR" w:eastAsia="en-US"/>
        </w:rPr>
        <w:t xml:space="preserve"> es </w:t>
      </w:r>
      <w:r w:rsidRPr="009423EA">
        <w:rPr>
          <w:rFonts w:ascii="Calibri" w:eastAsia="Calibri" w:hAnsi="Calibri" w:cs="Times New Roman"/>
          <w:bCs/>
          <w:color w:val="000000" w:themeColor="text1"/>
          <w:sz w:val="22"/>
          <w:szCs w:val="22"/>
          <w:lang w:val="es-AR" w:eastAsia="en-US"/>
        </w:rPr>
        <w:t xml:space="preserve">menor que otros indicadores. </w:t>
      </w:r>
    </w:p>
    <w:p w14:paraId="5DA52B29" w14:textId="77777777"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Y si se producen cambios seguramente ninguno será desmesurado, por lo menos en el oficial (aparentemente).  Los salarios pudieron empardar la inflación y acortaron distancia en varios puntos. En este gráfico utilizamos las variaciones de Córdoba con registros similares a otros organismos de Estadística.</w:t>
      </w:r>
    </w:p>
    <w:p w14:paraId="2475B749" w14:textId="4D6049A7"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¿Qué determina la tasa de Política Monetaria? La primera respuesta es la esterilización de pesos, por lo menos en el corto plazo, pero corresponde la aclaración con la evidencia empírica de que el cepo resultó más eficaz que la tasa, por lo menos para evitar grandes fugas. Lo que no pudo evitar es que millones de personas compraran el billete, aunque ahora con mayores restricciones y por lo tanto menores agrupamientos de comp</w:t>
      </w:r>
      <w:r w:rsidR="00EB2854" w:rsidRPr="009423EA">
        <w:rPr>
          <w:rFonts w:ascii="Calibri" w:eastAsia="Calibri" w:hAnsi="Calibri" w:cs="Times New Roman"/>
          <w:bCs/>
          <w:color w:val="000000" w:themeColor="text1"/>
          <w:sz w:val="22"/>
          <w:szCs w:val="22"/>
          <w:lang w:val="es-AR" w:eastAsia="en-US"/>
        </w:rPr>
        <w:t>r</w:t>
      </w:r>
      <w:r w:rsidRPr="009423EA">
        <w:rPr>
          <w:rFonts w:ascii="Calibri" w:eastAsia="Calibri" w:hAnsi="Calibri" w:cs="Times New Roman"/>
          <w:bCs/>
          <w:color w:val="000000" w:themeColor="text1"/>
          <w:sz w:val="22"/>
          <w:szCs w:val="22"/>
          <w:lang w:val="es-AR" w:eastAsia="en-US"/>
        </w:rPr>
        <w:t xml:space="preserve">adores. El gráfico permite comparar los porcentuales desde febrero del 2021 hasta el </w:t>
      </w:r>
      <w:r w:rsidR="00BA3611" w:rsidRPr="009423EA">
        <w:rPr>
          <w:rFonts w:ascii="Calibri" w:eastAsia="Calibri" w:hAnsi="Calibri" w:cs="Times New Roman"/>
          <w:bCs/>
          <w:color w:val="000000" w:themeColor="text1"/>
          <w:sz w:val="22"/>
          <w:szCs w:val="22"/>
          <w:lang w:val="es-AR" w:eastAsia="en-US"/>
        </w:rPr>
        <w:t>más</w:t>
      </w:r>
      <w:r w:rsidRPr="009423EA">
        <w:rPr>
          <w:rFonts w:ascii="Calibri" w:eastAsia="Calibri" w:hAnsi="Calibri" w:cs="Times New Roman"/>
          <w:bCs/>
          <w:color w:val="000000" w:themeColor="text1"/>
          <w:sz w:val="22"/>
          <w:szCs w:val="22"/>
          <w:lang w:val="es-AR" w:eastAsia="en-US"/>
        </w:rPr>
        <w:t xml:space="preserve"> reciente del 2022</w:t>
      </w:r>
      <w:r w:rsidR="00EB2854" w:rsidRPr="009423EA">
        <w:rPr>
          <w:rFonts w:ascii="Calibri" w:eastAsia="Calibri" w:hAnsi="Calibri" w:cs="Times New Roman"/>
          <w:bCs/>
          <w:color w:val="000000" w:themeColor="text1"/>
          <w:sz w:val="22"/>
          <w:szCs w:val="22"/>
          <w:lang w:val="es-AR" w:eastAsia="en-US"/>
        </w:rPr>
        <w:t>, que</w:t>
      </w:r>
      <w:r w:rsidRPr="009423EA">
        <w:rPr>
          <w:rFonts w:ascii="Calibri" w:eastAsia="Calibri" w:hAnsi="Calibri" w:cs="Times New Roman"/>
          <w:bCs/>
          <w:color w:val="000000" w:themeColor="text1"/>
          <w:sz w:val="22"/>
          <w:szCs w:val="22"/>
          <w:lang w:val="es-AR" w:eastAsia="en-US"/>
        </w:rPr>
        <w:t xml:space="preserve"> muestra una pequeña suba. Sacar conclusiones y conjeturar, ¿sigue la suba de la tasa?</w:t>
      </w:r>
    </w:p>
    <w:p w14:paraId="53053ADE" w14:textId="01F66210"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Es una mezcla complicada, dólar en baja y contenido, tasa de interés con pocos movimientos, salarios cercano</w:t>
      </w:r>
      <w:r w:rsidR="00EB2854" w:rsidRPr="009423EA">
        <w:rPr>
          <w:rFonts w:ascii="Calibri" w:eastAsia="Calibri" w:hAnsi="Calibri" w:cs="Times New Roman"/>
          <w:bCs/>
          <w:color w:val="000000" w:themeColor="text1"/>
          <w:sz w:val="22"/>
          <w:szCs w:val="22"/>
          <w:lang w:val="es-AR" w:eastAsia="en-US"/>
        </w:rPr>
        <w:t>s</w:t>
      </w:r>
      <w:r w:rsidRPr="009423EA">
        <w:rPr>
          <w:rFonts w:ascii="Calibri" w:eastAsia="Calibri" w:hAnsi="Calibri" w:cs="Times New Roman"/>
          <w:bCs/>
          <w:color w:val="000000" w:themeColor="text1"/>
          <w:sz w:val="22"/>
          <w:szCs w:val="22"/>
          <w:lang w:val="es-AR" w:eastAsia="en-US"/>
        </w:rPr>
        <w:t xml:space="preserve"> a la inflación con precios en alza.</w:t>
      </w:r>
    </w:p>
    <w:p w14:paraId="04CA3583" w14:textId="2D40B2E6" w:rsidR="00B5756A" w:rsidRPr="009423EA" w:rsidRDefault="00041ABC" w:rsidP="00295280">
      <w:pPr>
        <w:spacing w:after="160" w:line="259" w:lineRule="auto"/>
        <w:jc w:val="both"/>
        <w:rPr>
          <w:rFonts w:ascii="Calibri" w:eastAsia="Calibri" w:hAnsi="Calibri" w:cs="Times New Roman"/>
          <w:bCs/>
          <w:color w:val="000000" w:themeColor="text1"/>
          <w:sz w:val="22"/>
          <w:szCs w:val="22"/>
          <w:lang w:val="es-AR" w:eastAsia="en-US"/>
        </w:rPr>
      </w:pPr>
      <w:r>
        <w:rPr>
          <w:rFonts w:ascii="Calibri" w:eastAsia="Calibri" w:hAnsi="Calibri" w:cs="Times New Roman"/>
          <w:bCs/>
          <w:noProof/>
          <w:color w:val="000000" w:themeColor="text1"/>
          <w:sz w:val="22"/>
          <w:szCs w:val="22"/>
          <w:lang w:val="es-AR" w:eastAsia="es-AR"/>
        </w:rPr>
        <w:lastRenderedPageBreak/>
        <w:drawing>
          <wp:inline distT="0" distB="0" distL="0" distR="0" wp14:anchorId="077893E7" wp14:editId="0878802A">
            <wp:extent cx="4466655" cy="324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6655" cy="3240000"/>
                    </a:xfrm>
                    <a:prstGeom prst="rect">
                      <a:avLst/>
                    </a:prstGeom>
                    <a:noFill/>
                  </pic:spPr>
                </pic:pic>
              </a:graphicData>
            </a:graphic>
          </wp:inline>
        </w:drawing>
      </w:r>
    </w:p>
    <w:p w14:paraId="494C7C95" w14:textId="5B5034A8" w:rsidR="0086039A" w:rsidRPr="009423EA" w:rsidRDefault="0086039A" w:rsidP="00E91E95">
      <w:pPr>
        <w:spacing w:after="160" w:line="259" w:lineRule="auto"/>
        <w:jc w:val="both"/>
        <w:rPr>
          <w:rFonts w:ascii="Calibri" w:eastAsia="Calibri" w:hAnsi="Calibri" w:cs="Times New Roman"/>
          <w:b/>
          <w:color w:val="1F497D" w:themeColor="text2"/>
          <w:sz w:val="28"/>
          <w:szCs w:val="28"/>
          <w:lang w:val="es-ES" w:eastAsia="en-US"/>
        </w:rPr>
      </w:pPr>
      <w:r w:rsidRPr="009423EA">
        <w:rPr>
          <w:rFonts w:ascii="Calibri" w:eastAsia="Calibri" w:hAnsi="Calibri" w:cs="Times New Roman"/>
          <w:b/>
          <w:color w:val="1F497D" w:themeColor="text2"/>
          <w:sz w:val="28"/>
          <w:szCs w:val="28"/>
          <w:lang w:val="es-ES" w:eastAsia="en-US"/>
        </w:rPr>
        <w:t>Índice del Tipo de Cambio Real Mu</w:t>
      </w:r>
      <w:r w:rsidR="00C36238" w:rsidRPr="009423EA">
        <w:rPr>
          <w:rFonts w:ascii="Calibri" w:eastAsia="Calibri" w:hAnsi="Calibri" w:cs="Times New Roman"/>
          <w:b/>
          <w:color w:val="1F497D" w:themeColor="text2"/>
          <w:sz w:val="28"/>
          <w:szCs w:val="28"/>
          <w:lang w:val="es-ES" w:eastAsia="en-US"/>
        </w:rPr>
        <w:t xml:space="preserve">ltilateral (ITCRM), dólar, tasa </w:t>
      </w:r>
      <w:r w:rsidRPr="009423EA">
        <w:rPr>
          <w:rFonts w:ascii="Calibri" w:eastAsia="Calibri" w:hAnsi="Calibri" w:cs="Times New Roman"/>
          <w:b/>
          <w:color w:val="1F497D" w:themeColor="text2"/>
          <w:sz w:val="28"/>
          <w:szCs w:val="28"/>
          <w:lang w:val="es-ES" w:eastAsia="en-US"/>
        </w:rPr>
        <w:t>monetari</w:t>
      </w:r>
      <w:r w:rsidR="007278B6" w:rsidRPr="009423EA">
        <w:rPr>
          <w:rFonts w:ascii="Calibri" w:eastAsia="Calibri" w:hAnsi="Calibri" w:cs="Times New Roman"/>
          <w:b/>
          <w:color w:val="1F497D" w:themeColor="text2"/>
          <w:sz w:val="28"/>
          <w:szCs w:val="28"/>
          <w:lang w:val="es-ES" w:eastAsia="en-US"/>
        </w:rPr>
        <w:t>a. Agregamos una nueva variable.</w:t>
      </w:r>
    </w:p>
    <w:p w14:paraId="3C19F2F6" w14:textId="3E9232FA"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
          <w:bCs/>
          <w:color w:val="000000" w:themeColor="text1"/>
          <w:sz w:val="22"/>
          <w:szCs w:val="22"/>
          <w:lang w:val="es-AR" w:eastAsia="en-US"/>
        </w:rPr>
        <w:t>Menor tiempo</w:t>
      </w:r>
      <w:r w:rsidRPr="009423EA">
        <w:rPr>
          <w:rFonts w:ascii="Calibri" w:eastAsia="Calibri" w:hAnsi="Calibri" w:cs="Times New Roman"/>
          <w:bCs/>
          <w:color w:val="000000" w:themeColor="text1"/>
          <w:sz w:val="22"/>
          <w:szCs w:val="22"/>
          <w:lang w:val="es-AR" w:eastAsia="en-US"/>
        </w:rPr>
        <w:t xml:space="preserve">. Acotamos la información mensual a los meses más recientes desde febrero </w:t>
      </w:r>
      <w:r w:rsidR="00EB2854" w:rsidRPr="009423EA">
        <w:rPr>
          <w:rFonts w:ascii="Calibri" w:eastAsia="Calibri" w:hAnsi="Calibri" w:cs="Times New Roman"/>
          <w:bCs/>
          <w:color w:val="000000" w:themeColor="text1"/>
          <w:sz w:val="22"/>
          <w:szCs w:val="22"/>
          <w:lang w:val="es-AR" w:eastAsia="en-US"/>
        </w:rPr>
        <w:t xml:space="preserve">del </w:t>
      </w:r>
      <w:r w:rsidRPr="009423EA">
        <w:rPr>
          <w:rFonts w:ascii="Calibri" w:eastAsia="Calibri" w:hAnsi="Calibri" w:cs="Times New Roman"/>
          <w:bCs/>
          <w:color w:val="000000" w:themeColor="text1"/>
          <w:sz w:val="22"/>
          <w:szCs w:val="22"/>
          <w:lang w:val="es-AR" w:eastAsia="en-US"/>
        </w:rPr>
        <w:t xml:space="preserve">2021 a febrero  </w:t>
      </w:r>
      <w:r w:rsidR="00EB2854" w:rsidRPr="009423EA">
        <w:rPr>
          <w:rFonts w:ascii="Calibri" w:eastAsia="Calibri" w:hAnsi="Calibri" w:cs="Times New Roman"/>
          <w:bCs/>
          <w:color w:val="000000" w:themeColor="text1"/>
          <w:sz w:val="22"/>
          <w:szCs w:val="22"/>
          <w:lang w:val="es-AR" w:eastAsia="en-US"/>
        </w:rPr>
        <w:t xml:space="preserve">del </w:t>
      </w:r>
      <w:r w:rsidRPr="009423EA">
        <w:rPr>
          <w:rFonts w:ascii="Calibri" w:eastAsia="Calibri" w:hAnsi="Calibri" w:cs="Times New Roman"/>
          <w:bCs/>
          <w:color w:val="000000" w:themeColor="text1"/>
          <w:sz w:val="22"/>
          <w:szCs w:val="22"/>
          <w:lang w:val="es-AR" w:eastAsia="en-US"/>
        </w:rPr>
        <w:t xml:space="preserve">2022. </w:t>
      </w:r>
    </w:p>
    <w:p w14:paraId="4A8A90DF" w14:textId="00B0DE1D"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 xml:space="preserve">El ITCRM mensual se observa con más claridad, </w:t>
      </w:r>
      <w:r w:rsidRPr="009423EA">
        <w:rPr>
          <w:rFonts w:ascii="Calibri" w:eastAsia="Calibri" w:hAnsi="Calibri" w:cs="Times New Roman"/>
          <w:b/>
          <w:bCs/>
          <w:color w:val="000000" w:themeColor="text1"/>
          <w:sz w:val="22"/>
          <w:szCs w:val="22"/>
          <w:u w:val="single"/>
          <w:lang w:val="es-AR" w:eastAsia="en-US"/>
        </w:rPr>
        <w:t xml:space="preserve">especialmente el promedio </w:t>
      </w:r>
      <w:r w:rsidRPr="009423EA">
        <w:rPr>
          <w:rFonts w:ascii="Calibri" w:eastAsia="Calibri" w:hAnsi="Calibri" w:cs="Times New Roman"/>
          <w:bCs/>
          <w:color w:val="000000" w:themeColor="text1"/>
          <w:sz w:val="22"/>
          <w:szCs w:val="22"/>
          <w:lang w:val="es-AR" w:eastAsia="en-US"/>
        </w:rPr>
        <w:t>(</w:t>
      </w:r>
      <w:r w:rsidR="00BA3611" w:rsidRPr="009423EA">
        <w:rPr>
          <w:rFonts w:ascii="Calibri" w:eastAsia="Calibri" w:hAnsi="Calibri" w:cs="Times New Roman"/>
          <w:bCs/>
          <w:color w:val="000000" w:themeColor="text1"/>
          <w:sz w:val="22"/>
          <w:szCs w:val="22"/>
          <w:lang w:val="es-AR" w:eastAsia="en-US"/>
        </w:rPr>
        <w:t>línea</w:t>
      </w:r>
      <w:r w:rsidRPr="009423EA">
        <w:rPr>
          <w:rFonts w:ascii="Calibri" w:eastAsia="Calibri" w:hAnsi="Calibri" w:cs="Times New Roman"/>
          <w:bCs/>
          <w:color w:val="000000" w:themeColor="text1"/>
          <w:sz w:val="22"/>
          <w:szCs w:val="22"/>
          <w:lang w:val="es-AR" w:eastAsia="en-US"/>
        </w:rPr>
        <w:t xml:space="preserve"> punteada negra)  del período 2014/2022, apenas superior a 0, pero positivo. Agregamos esta variable de suma importancia en base al Índice del Tipo de Cambio Real Multilateral (ITCRM del BCRA barras mensuales de color ocre) y tiene fuerte incidencia en las exportaciones. ¿Cómo estamos con nuestra moneda frente a las monedas de los países con los que comercializamos?</w:t>
      </w:r>
    </w:p>
    <w:p w14:paraId="40E49C1E" w14:textId="62057CB8"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El ITCRM en febrero</w:t>
      </w:r>
      <w:r w:rsidRPr="009423EA">
        <w:rPr>
          <w:rFonts w:ascii="Calibri" w:eastAsia="Calibri" w:hAnsi="Calibri" w:cs="Times New Roman"/>
          <w:b/>
          <w:bCs/>
          <w:color w:val="000000" w:themeColor="text1"/>
          <w:sz w:val="22"/>
          <w:szCs w:val="22"/>
          <w:lang w:val="es-AR" w:eastAsia="en-US"/>
        </w:rPr>
        <w:t xml:space="preserve"> </w:t>
      </w:r>
      <w:r w:rsidR="00EB2854" w:rsidRPr="009423EA">
        <w:rPr>
          <w:rFonts w:ascii="Calibri" w:eastAsia="Calibri" w:hAnsi="Calibri" w:cs="Times New Roman"/>
          <w:bCs/>
          <w:color w:val="000000" w:themeColor="text1"/>
          <w:sz w:val="22"/>
          <w:szCs w:val="22"/>
          <w:lang w:val="es-AR" w:eastAsia="en-US"/>
        </w:rPr>
        <w:t>del</w:t>
      </w:r>
      <w:r w:rsidR="00EB2854" w:rsidRPr="009423EA">
        <w:rPr>
          <w:rFonts w:ascii="Calibri" w:eastAsia="Calibri" w:hAnsi="Calibri" w:cs="Times New Roman"/>
          <w:b/>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2022 da cuenta de una variación positiva </w:t>
      </w:r>
      <w:r w:rsidR="00C1591C" w:rsidRPr="009423EA">
        <w:rPr>
          <w:rFonts w:ascii="Calibri" w:eastAsia="Calibri" w:hAnsi="Calibri" w:cs="Times New Roman"/>
          <w:bCs/>
          <w:color w:val="000000" w:themeColor="text1"/>
          <w:sz w:val="22"/>
          <w:szCs w:val="22"/>
          <w:lang w:val="es-AR" w:eastAsia="en-US"/>
        </w:rPr>
        <w:t xml:space="preserve">del </w:t>
      </w:r>
      <w:r w:rsidRPr="009423EA">
        <w:rPr>
          <w:rFonts w:ascii="Calibri" w:eastAsia="Calibri" w:hAnsi="Calibri" w:cs="Times New Roman"/>
          <w:bCs/>
          <w:color w:val="000000" w:themeColor="text1"/>
          <w:sz w:val="22"/>
          <w:szCs w:val="22"/>
          <w:lang w:val="es-AR" w:eastAsia="en-US"/>
        </w:rPr>
        <w:t xml:space="preserve">1.1 % y cambia la racha que se </w:t>
      </w:r>
      <w:r w:rsidR="00BA3611" w:rsidRPr="009423EA">
        <w:rPr>
          <w:rFonts w:ascii="Calibri" w:eastAsia="Calibri" w:hAnsi="Calibri" w:cs="Times New Roman"/>
          <w:bCs/>
          <w:color w:val="000000" w:themeColor="text1"/>
          <w:sz w:val="22"/>
          <w:szCs w:val="22"/>
          <w:lang w:val="es-AR" w:eastAsia="en-US"/>
        </w:rPr>
        <w:t>venía</w:t>
      </w:r>
      <w:r w:rsidR="00C1591C" w:rsidRPr="009423EA">
        <w:rPr>
          <w:rFonts w:ascii="Calibri" w:eastAsia="Calibri" w:hAnsi="Calibri" w:cs="Times New Roman"/>
          <w:bCs/>
          <w:color w:val="000000" w:themeColor="text1"/>
          <w:sz w:val="22"/>
          <w:szCs w:val="22"/>
          <w:lang w:val="es-AR" w:eastAsia="en-US"/>
        </w:rPr>
        <w:t xml:space="preserve"> observando, p</w:t>
      </w:r>
      <w:r w:rsidRPr="009423EA">
        <w:rPr>
          <w:rFonts w:ascii="Calibri" w:eastAsia="Calibri" w:hAnsi="Calibri" w:cs="Times New Roman"/>
          <w:bCs/>
          <w:color w:val="000000" w:themeColor="text1"/>
          <w:sz w:val="22"/>
          <w:szCs w:val="22"/>
          <w:lang w:val="es-AR" w:eastAsia="en-US"/>
        </w:rPr>
        <w:t xml:space="preserve">ero con diferencias entre los </w:t>
      </w:r>
      <w:r w:rsidR="00BA3611" w:rsidRPr="009423EA">
        <w:rPr>
          <w:rFonts w:ascii="Calibri" w:eastAsia="Calibri" w:hAnsi="Calibri" w:cs="Times New Roman"/>
          <w:bCs/>
          <w:color w:val="000000" w:themeColor="text1"/>
          <w:sz w:val="22"/>
          <w:szCs w:val="22"/>
          <w:lang w:val="es-AR" w:eastAsia="en-US"/>
        </w:rPr>
        <w:t>países</w:t>
      </w:r>
      <w:r w:rsidR="00C1591C"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Brasil</w:t>
      </w:r>
      <w:r w:rsidR="00C1591C" w:rsidRPr="009423EA">
        <w:rPr>
          <w:rFonts w:ascii="Calibri" w:eastAsia="Calibri" w:hAnsi="Calibri" w:cs="Times New Roman"/>
          <w:bCs/>
          <w:color w:val="000000" w:themeColor="text1"/>
          <w:sz w:val="22"/>
          <w:szCs w:val="22"/>
          <w:lang w:val="es-AR" w:eastAsia="en-US"/>
        </w:rPr>
        <w:t xml:space="preserve"> tiene </w:t>
      </w:r>
      <w:r w:rsidRPr="009423EA">
        <w:rPr>
          <w:rFonts w:ascii="Calibri" w:eastAsia="Calibri" w:hAnsi="Calibri" w:cs="Times New Roman"/>
          <w:bCs/>
          <w:color w:val="000000" w:themeColor="text1"/>
          <w:sz w:val="22"/>
          <w:szCs w:val="22"/>
          <w:lang w:val="es-AR" w:eastAsia="en-US"/>
        </w:rPr>
        <w:t xml:space="preserve">una </w:t>
      </w:r>
      <w:r w:rsidR="00C1591C" w:rsidRPr="009423EA">
        <w:rPr>
          <w:rFonts w:ascii="Calibri" w:eastAsia="Calibri" w:hAnsi="Calibri" w:cs="Times New Roman"/>
          <w:bCs/>
          <w:color w:val="000000" w:themeColor="text1"/>
          <w:sz w:val="22"/>
          <w:szCs w:val="22"/>
          <w:lang w:val="es-AR" w:eastAsia="en-US"/>
        </w:rPr>
        <w:t>muy</w:t>
      </w:r>
      <w:r w:rsidRPr="009423EA">
        <w:rPr>
          <w:rFonts w:ascii="Calibri" w:eastAsia="Calibri" w:hAnsi="Calibri" w:cs="Times New Roman"/>
          <w:bCs/>
          <w:color w:val="000000" w:themeColor="text1"/>
          <w:sz w:val="22"/>
          <w:szCs w:val="22"/>
          <w:lang w:val="es-AR" w:eastAsia="en-US"/>
        </w:rPr>
        <w:t xml:space="preserve"> positiva</w:t>
      </w:r>
      <w:r w:rsidR="00C1591C" w:rsidRPr="009423EA">
        <w:rPr>
          <w:rFonts w:ascii="Calibri" w:eastAsia="Calibri" w:hAnsi="Calibri" w:cs="Times New Roman"/>
          <w:bCs/>
          <w:color w:val="000000" w:themeColor="text1"/>
          <w:sz w:val="22"/>
          <w:szCs w:val="22"/>
          <w:lang w:val="es-AR" w:eastAsia="en-US"/>
        </w:rPr>
        <w:t>. N</w:t>
      </w:r>
      <w:r w:rsidRPr="009423EA">
        <w:rPr>
          <w:rFonts w:ascii="Calibri" w:eastAsia="Calibri" w:hAnsi="Calibri" w:cs="Times New Roman"/>
          <w:bCs/>
          <w:color w:val="000000" w:themeColor="text1"/>
          <w:sz w:val="22"/>
          <w:szCs w:val="22"/>
          <w:lang w:val="es-AR" w:eastAsia="en-US"/>
        </w:rPr>
        <w:t>o ocurre lo mismo con USA y la zona del euro.</w:t>
      </w:r>
    </w:p>
    <w:p w14:paraId="0E072578" w14:textId="0D2D013E"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AR" w:eastAsia="en-US"/>
        </w:rPr>
        <w:t>El tipo de cambio (peso dólar) en el mes AUMENTA el 2.4 %, o sea se deprecia en ese porcentaje. ¿Es un ancla? Por lo visto</w:t>
      </w:r>
      <w:r w:rsidR="00C1591C"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en el mes 27 del nuevo Gobierno</w:t>
      </w:r>
      <w:r w:rsidR="00C1591C"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pareciera que sí, detenta un nivel inferior a los precios.</w:t>
      </w:r>
      <w:r w:rsidR="00D1352A"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¿Lo seguirán sosteniendo con las diferencias actuales del paralelo o el dólar compra recargado?  Ese es un dilema no menor. </w:t>
      </w:r>
      <w:r w:rsidR="00C1591C" w:rsidRPr="009423EA">
        <w:rPr>
          <w:rFonts w:ascii="Calibri" w:eastAsia="Calibri" w:hAnsi="Calibri" w:cs="Times New Roman"/>
          <w:bCs/>
          <w:color w:val="000000" w:themeColor="text1"/>
          <w:sz w:val="22"/>
          <w:szCs w:val="22"/>
          <w:lang w:val="es-AR" w:eastAsia="en-US"/>
        </w:rPr>
        <w:t xml:space="preserve">Con las medidas recientes de Economía </w:t>
      </w:r>
      <w:r w:rsidRPr="009423EA">
        <w:rPr>
          <w:rFonts w:ascii="Calibri" w:eastAsia="Calibri" w:hAnsi="Calibri" w:cs="Times New Roman"/>
          <w:bCs/>
          <w:color w:val="000000" w:themeColor="text1"/>
          <w:sz w:val="22"/>
          <w:szCs w:val="22"/>
          <w:lang w:val="es-AR" w:eastAsia="en-US"/>
        </w:rPr>
        <w:t xml:space="preserve">se vislumbra </w:t>
      </w:r>
      <w:r w:rsidR="00C1591C" w:rsidRPr="009423EA">
        <w:rPr>
          <w:rFonts w:ascii="Calibri" w:eastAsia="Calibri" w:hAnsi="Calibri" w:cs="Times New Roman"/>
          <w:bCs/>
          <w:color w:val="000000" w:themeColor="text1"/>
          <w:sz w:val="22"/>
          <w:szCs w:val="22"/>
          <w:lang w:val="es-AR" w:eastAsia="en-US"/>
        </w:rPr>
        <w:t>cuá</w:t>
      </w:r>
      <w:r w:rsidRPr="009423EA">
        <w:rPr>
          <w:rFonts w:ascii="Calibri" w:eastAsia="Calibri" w:hAnsi="Calibri" w:cs="Times New Roman"/>
          <w:bCs/>
          <w:color w:val="000000" w:themeColor="text1"/>
          <w:sz w:val="22"/>
          <w:szCs w:val="22"/>
          <w:lang w:val="es-AR" w:eastAsia="en-US"/>
        </w:rPr>
        <w:t xml:space="preserve">l será el camino, supongo que esperando el acuerdo </w:t>
      </w:r>
      <w:r w:rsidR="00BA3611" w:rsidRPr="009423EA">
        <w:rPr>
          <w:rFonts w:ascii="Calibri" w:eastAsia="Calibri" w:hAnsi="Calibri" w:cs="Times New Roman"/>
          <w:bCs/>
          <w:color w:val="000000" w:themeColor="text1"/>
          <w:sz w:val="22"/>
          <w:szCs w:val="22"/>
          <w:lang w:val="es-AR" w:eastAsia="en-US"/>
        </w:rPr>
        <w:t>definitivo</w:t>
      </w:r>
      <w:r w:rsidRPr="009423EA">
        <w:rPr>
          <w:rFonts w:ascii="Calibri" w:eastAsia="Calibri" w:hAnsi="Calibri" w:cs="Times New Roman"/>
          <w:bCs/>
          <w:color w:val="000000" w:themeColor="text1"/>
          <w:sz w:val="22"/>
          <w:szCs w:val="22"/>
          <w:lang w:val="es-AR" w:eastAsia="en-US"/>
        </w:rPr>
        <w:t xml:space="preserve"> con el FMI. La idea de contener la inflación es de larga data</w:t>
      </w:r>
      <w:r w:rsidR="00C1591C"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pero sin resultados.</w:t>
      </w:r>
      <w:r w:rsidR="00D1352A"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Que el  tipo de cambio siga un paso </w:t>
      </w:r>
      <w:r w:rsidR="00BA3611" w:rsidRPr="009423EA">
        <w:rPr>
          <w:rFonts w:ascii="Calibri" w:eastAsia="Calibri" w:hAnsi="Calibri" w:cs="Times New Roman"/>
          <w:bCs/>
          <w:color w:val="000000" w:themeColor="text1"/>
          <w:sz w:val="22"/>
          <w:szCs w:val="22"/>
          <w:lang w:val="es-AR" w:eastAsia="en-US"/>
        </w:rPr>
        <w:t>atrás</w:t>
      </w:r>
      <w:r w:rsidRPr="009423EA">
        <w:rPr>
          <w:rFonts w:ascii="Calibri" w:eastAsia="Calibri" w:hAnsi="Calibri" w:cs="Times New Roman"/>
          <w:bCs/>
          <w:color w:val="000000" w:themeColor="text1"/>
          <w:sz w:val="22"/>
          <w:szCs w:val="22"/>
          <w:lang w:val="es-AR" w:eastAsia="en-US"/>
        </w:rPr>
        <w:t xml:space="preserve"> de la </w:t>
      </w:r>
      <w:r w:rsidR="00BA3611" w:rsidRPr="009423EA">
        <w:rPr>
          <w:rFonts w:ascii="Calibri" w:eastAsia="Calibri" w:hAnsi="Calibri" w:cs="Times New Roman"/>
          <w:bCs/>
          <w:color w:val="000000" w:themeColor="text1"/>
          <w:sz w:val="22"/>
          <w:szCs w:val="22"/>
          <w:lang w:val="es-AR" w:eastAsia="en-US"/>
        </w:rPr>
        <w:t>inflación,</w:t>
      </w:r>
      <w:r w:rsidRPr="009423EA">
        <w:rPr>
          <w:rFonts w:ascii="Calibri" w:eastAsia="Calibri" w:hAnsi="Calibri" w:cs="Times New Roman"/>
          <w:bCs/>
          <w:color w:val="000000" w:themeColor="text1"/>
          <w:sz w:val="22"/>
          <w:szCs w:val="22"/>
          <w:lang w:val="es-AR" w:eastAsia="en-US"/>
        </w:rPr>
        <w:t xml:space="preserve"> se observa desde hace varios meses. Pero todo esto se puede modificar.</w:t>
      </w:r>
      <w:r w:rsidR="00D1352A" w:rsidRPr="009423EA">
        <w:rPr>
          <w:rFonts w:ascii="Calibri" w:eastAsia="Calibri" w:hAnsi="Calibri" w:cs="Times New Roman"/>
          <w:bCs/>
          <w:color w:val="000000" w:themeColor="text1"/>
          <w:sz w:val="22"/>
          <w:szCs w:val="22"/>
          <w:lang w:val="es-AR" w:eastAsia="en-US"/>
        </w:rPr>
        <w:t xml:space="preserve"> </w:t>
      </w:r>
      <w:r w:rsidRPr="009423EA">
        <w:rPr>
          <w:rFonts w:ascii="Calibri" w:eastAsia="Calibri" w:hAnsi="Calibri" w:cs="Times New Roman"/>
          <w:bCs/>
          <w:color w:val="000000" w:themeColor="text1"/>
          <w:sz w:val="22"/>
          <w:szCs w:val="22"/>
          <w:lang w:val="es-AR" w:eastAsia="en-US"/>
        </w:rPr>
        <w:t xml:space="preserve">También para analizar el mensual </w:t>
      </w:r>
      <w:r w:rsidR="00C1591C" w:rsidRPr="009423EA">
        <w:rPr>
          <w:rFonts w:ascii="Calibri" w:eastAsia="Calibri" w:hAnsi="Calibri" w:cs="Times New Roman"/>
          <w:bCs/>
          <w:color w:val="000000" w:themeColor="text1"/>
          <w:sz w:val="22"/>
          <w:szCs w:val="22"/>
          <w:lang w:val="es-AR" w:eastAsia="en-US"/>
        </w:rPr>
        <w:t>del</w:t>
      </w:r>
      <w:r w:rsidRPr="009423EA">
        <w:rPr>
          <w:rFonts w:ascii="Calibri" w:eastAsia="Calibri" w:hAnsi="Calibri" w:cs="Times New Roman"/>
          <w:bCs/>
          <w:color w:val="000000" w:themeColor="text1"/>
          <w:sz w:val="22"/>
          <w:szCs w:val="22"/>
          <w:lang w:val="es-AR" w:eastAsia="en-US"/>
        </w:rPr>
        <w:t xml:space="preserve"> 2022</w:t>
      </w:r>
      <w:r w:rsidR="00C1591C" w:rsidRPr="009423EA">
        <w:rPr>
          <w:rFonts w:ascii="Calibri" w:eastAsia="Calibri" w:hAnsi="Calibri" w:cs="Times New Roman"/>
          <w:bCs/>
          <w:color w:val="000000" w:themeColor="text1"/>
          <w:sz w:val="22"/>
          <w:szCs w:val="22"/>
          <w:lang w:val="es-AR" w:eastAsia="en-US"/>
        </w:rPr>
        <w:t>,</w:t>
      </w:r>
      <w:r w:rsidRPr="009423EA">
        <w:rPr>
          <w:rFonts w:ascii="Calibri" w:eastAsia="Calibri" w:hAnsi="Calibri" w:cs="Times New Roman"/>
          <w:bCs/>
          <w:color w:val="000000" w:themeColor="text1"/>
          <w:sz w:val="22"/>
          <w:szCs w:val="22"/>
          <w:lang w:val="es-AR" w:eastAsia="en-US"/>
        </w:rPr>
        <w:t xml:space="preserve"> como se muestra en el </w:t>
      </w:r>
      <w:r w:rsidR="00BA3611" w:rsidRPr="009423EA">
        <w:rPr>
          <w:rFonts w:ascii="Calibri" w:eastAsia="Calibri" w:hAnsi="Calibri" w:cs="Times New Roman"/>
          <w:bCs/>
          <w:color w:val="000000" w:themeColor="text1"/>
          <w:sz w:val="22"/>
          <w:szCs w:val="22"/>
          <w:lang w:val="es-AR" w:eastAsia="en-US"/>
        </w:rPr>
        <w:t>gráfico</w:t>
      </w:r>
      <w:r w:rsidRPr="009423EA">
        <w:rPr>
          <w:rFonts w:ascii="Calibri" w:eastAsia="Calibri" w:hAnsi="Calibri" w:cs="Times New Roman"/>
          <w:bCs/>
          <w:color w:val="000000" w:themeColor="text1"/>
          <w:sz w:val="22"/>
          <w:szCs w:val="22"/>
          <w:lang w:val="es-AR" w:eastAsia="en-US"/>
        </w:rPr>
        <w:t>.</w:t>
      </w:r>
    </w:p>
    <w:p w14:paraId="468DB02E" w14:textId="4B9B14A3" w:rsidR="001E2BAD" w:rsidRPr="009423EA" w:rsidRDefault="00041ABC" w:rsidP="001E2BAD">
      <w:pPr>
        <w:spacing w:after="160" w:line="259" w:lineRule="auto"/>
        <w:jc w:val="both"/>
        <w:rPr>
          <w:rFonts w:ascii="Calibri" w:eastAsia="Calibri" w:hAnsi="Calibri" w:cs="Times New Roman"/>
          <w:bCs/>
          <w:color w:val="000000" w:themeColor="text1"/>
          <w:sz w:val="22"/>
          <w:szCs w:val="22"/>
          <w:lang w:val="es-AR" w:eastAsia="en-US"/>
        </w:rPr>
      </w:pPr>
      <w:r>
        <w:rPr>
          <w:rFonts w:ascii="Calibri" w:eastAsia="Calibri" w:hAnsi="Calibri" w:cs="Times New Roman"/>
          <w:bCs/>
          <w:noProof/>
          <w:color w:val="000000" w:themeColor="text1"/>
          <w:sz w:val="22"/>
          <w:szCs w:val="22"/>
          <w:lang w:val="es-AR" w:eastAsia="es-AR"/>
        </w:rPr>
        <w:lastRenderedPageBreak/>
        <w:drawing>
          <wp:inline distT="0" distB="0" distL="0" distR="0" wp14:anchorId="33E6D466" wp14:editId="143A1F94">
            <wp:extent cx="4459823" cy="324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9823" cy="3240000"/>
                    </a:xfrm>
                    <a:prstGeom prst="rect">
                      <a:avLst/>
                    </a:prstGeom>
                    <a:noFill/>
                  </pic:spPr>
                </pic:pic>
              </a:graphicData>
            </a:graphic>
          </wp:inline>
        </w:drawing>
      </w:r>
    </w:p>
    <w:p w14:paraId="1591FF17" w14:textId="5119EDA8" w:rsidR="0086039A" w:rsidRPr="009423EA" w:rsidRDefault="009D1A5F" w:rsidP="00E91E95">
      <w:pPr>
        <w:spacing w:after="160" w:line="259" w:lineRule="auto"/>
        <w:jc w:val="both"/>
        <w:rPr>
          <w:rFonts w:ascii="Calibri" w:eastAsia="Calibri" w:hAnsi="Calibri" w:cs="Times New Roman"/>
          <w:b/>
          <w:color w:val="1F497D" w:themeColor="text2"/>
          <w:sz w:val="28"/>
          <w:szCs w:val="28"/>
          <w:lang w:val="es-ES" w:eastAsia="en-US"/>
        </w:rPr>
      </w:pPr>
      <w:r w:rsidRPr="009423EA">
        <w:rPr>
          <w:rFonts w:ascii="Calibri" w:eastAsia="Calibri" w:hAnsi="Calibri" w:cs="Times New Roman"/>
          <w:b/>
          <w:color w:val="1F497D" w:themeColor="text2"/>
          <w:sz w:val="28"/>
          <w:szCs w:val="28"/>
          <w:lang w:val="es-ES" w:eastAsia="en-US"/>
        </w:rPr>
        <w:t>Se asocian la t</w:t>
      </w:r>
      <w:r w:rsidR="0086039A" w:rsidRPr="009423EA">
        <w:rPr>
          <w:rFonts w:ascii="Calibri" w:eastAsia="Calibri" w:hAnsi="Calibri" w:cs="Times New Roman"/>
          <w:b/>
          <w:color w:val="1F497D" w:themeColor="text2"/>
          <w:sz w:val="28"/>
          <w:szCs w:val="28"/>
          <w:lang w:val="es-ES" w:eastAsia="en-US"/>
        </w:rPr>
        <w:t>asa real de interés</w:t>
      </w:r>
      <w:r w:rsidRPr="009423EA">
        <w:rPr>
          <w:rFonts w:ascii="Calibri" w:eastAsia="Calibri" w:hAnsi="Calibri" w:cs="Times New Roman"/>
          <w:b/>
          <w:color w:val="1F497D" w:themeColor="text2"/>
          <w:sz w:val="28"/>
          <w:szCs w:val="28"/>
          <w:lang w:val="es-ES" w:eastAsia="en-US"/>
        </w:rPr>
        <w:t xml:space="preserve"> y la </w:t>
      </w:r>
      <w:r w:rsidR="0086039A" w:rsidRPr="009423EA">
        <w:rPr>
          <w:rFonts w:ascii="Calibri" w:eastAsia="Calibri" w:hAnsi="Calibri" w:cs="Times New Roman"/>
          <w:b/>
          <w:color w:val="1F497D" w:themeColor="text2"/>
          <w:sz w:val="28"/>
          <w:szCs w:val="28"/>
          <w:lang w:val="es-ES" w:eastAsia="en-US"/>
        </w:rPr>
        <w:t>tasa de política monetaria. Atesoramiento, la costumbre arraigada de muchos</w:t>
      </w:r>
      <w:r w:rsidR="003E7714" w:rsidRPr="009423EA">
        <w:rPr>
          <w:rFonts w:ascii="Calibri" w:eastAsia="Calibri" w:hAnsi="Calibri" w:cs="Times New Roman"/>
          <w:b/>
          <w:color w:val="1F497D" w:themeColor="text2"/>
          <w:sz w:val="28"/>
          <w:szCs w:val="28"/>
          <w:lang w:val="es-ES" w:eastAsia="en-US"/>
        </w:rPr>
        <w:t xml:space="preserve"> argentinos, ahorrar en dólares:</w:t>
      </w:r>
      <w:r w:rsidR="0086039A" w:rsidRPr="009423EA">
        <w:rPr>
          <w:rFonts w:ascii="Calibri" w:eastAsia="Calibri" w:hAnsi="Calibri" w:cs="Times New Roman"/>
          <w:b/>
          <w:color w:val="1F497D" w:themeColor="text2"/>
          <w:sz w:val="28"/>
          <w:szCs w:val="28"/>
          <w:lang w:val="es-ES" w:eastAsia="en-US"/>
        </w:rPr>
        <w:t xml:space="preserve"> </w:t>
      </w:r>
    </w:p>
    <w:p w14:paraId="3D5AEDE2" w14:textId="19434D48" w:rsidR="00E14E6F" w:rsidRPr="009423EA" w:rsidRDefault="00CC4F75" w:rsidP="00E91E95">
      <w:pPr>
        <w:spacing w:after="160" w:line="259" w:lineRule="auto"/>
        <w:jc w:val="both"/>
        <w:rPr>
          <w:rFonts w:ascii="Calibri" w:eastAsia="Calibri" w:hAnsi="Calibri" w:cs="Times New Roman"/>
          <w:b/>
          <w:color w:val="1F497D" w:themeColor="text2"/>
          <w:sz w:val="22"/>
          <w:szCs w:val="22"/>
          <w:lang w:val="es-AR" w:eastAsia="en-US"/>
        </w:rPr>
      </w:pPr>
      <w:r w:rsidRPr="009423EA">
        <w:rPr>
          <w:rFonts w:ascii="Calibri" w:eastAsia="Calibri" w:hAnsi="Calibri" w:cs="Times New Roman"/>
          <w:b/>
          <w:color w:val="1F497D" w:themeColor="text2"/>
          <w:sz w:val="22"/>
          <w:szCs w:val="22"/>
          <w:lang w:val="es-AR" w:eastAsia="en-US"/>
        </w:rPr>
        <w:t>Menor</w:t>
      </w:r>
      <w:r w:rsidR="00E14E6F" w:rsidRPr="009423EA">
        <w:rPr>
          <w:rFonts w:ascii="Calibri" w:eastAsia="Calibri" w:hAnsi="Calibri" w:cs="Times New Roman"/>
          <w:b/>
          <w:color w:val="1F497D" w:themeColor="text2"/>
          <w:sz w:val="22"/>
          <w:szCs w:val="22"/>
          <w:lang w:val="es-AR" w:eastAsia="en-US"/>
        </w:rPr>
        <w:t xml:space="preserve"> plazo</w:t>
      </w:r>
      <w:r w:rsidR="003E7714" w:rsidRPr="009423EA">
        <w:rPr>
          <w:rFonts w:ascii="Calibri" w:eastAsia="Calibri" w:hAnsi="Calibri" w:cs="Times New Roman"/>
          <w:b/>
          <w:color w:val="1F497D" w:themeColor="text2"/>
          <w:sz w:val="22"/>
          <w:szCs w:val="22"/>
          <w:lang w:val="es-AR" w:eastAsia="en-US"/>
        </w:rPr>
        <w:t xml:space="preserve"> para la tasa real:</w:t>
      </w:r>
    </w:p>
    <w:p w14:paraId="797DA0B7" w14:textId="2C1595A8"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Dólar con ascenso sistemático en los períodos </w:t>
      </w:r>
      <w:r w:rsidR="00BA3611" w:rsidRPr="009423EA">
        <w:rPr>
          <w:rFonts w:ascii="Calibri" w:eastAsia="Calibri" w:hAnsi="Calibri" w:cs="Times New Roman"/>
          <w:color w:val="000000" w:themeColor="text1"/>
          <w:sz w:val="22"/>
          <w:szCs w:val="22"/>
          <w:lang w:val="es-AR" w:eastAsia="en-US"/>
        </w:rPr>
        <w:t>anteriores, y</w:t>
      </w:r>
      <w:r w:rsidRPr="009423EA">
        <w:rPr>
          <w:rFonts w:ascii="Calibri" w:eastAsia="Calibri" w:hAnsi="Calibri" w:cs="Times New Roman"/>
          <w:color w:val="000000" w:themeColor="text1"/>
          <w:sz w:val="22"/>
          <w:szCs w:val="22"/>
          <w:lang w:val="es-AR" w:eastAsia="en-US"/>
        </w:rPr>
        <w:t xml:space="preserve"> actualmente los movimientos </w:t>
      </w:r>
      <w:r w:rsidR="00BA3611" w:rsidRPr="009423EA">
        <w:rPr>
          <w:rFonts w:ascii="Calibri" w:eastAsia="Calibri" w:hAnsi="Calibri" w:cs="Times New Roman"/>
          <w:color w:val="000000" w:themeColor="text1"/>
          <w:sz w:val="22"/>
          <w:szCs w:val="22"/>
          <w:lang w:val="es-AR" w:eastAsia="en-US"/>
        </w:rPr>
        <w:t>son de</w:t>
      </w:r>
      <w:r w:rsidRPr="009423EA">
        <w:rPr>
          <w:rFonts w:ascii="Calibri" w:eastAsia="Calibri" w:hAnsi="Calibri" w:cs="Times New Roman"/>
          <w:color w:val="000000" w:themeColor="text1"/>
          <w:sz w:val="22"/>
          <w:szCs w:val="22"/>
          <w:lang w:val="es-AR" w:eastAsia="en-US"/>
        </w:rPr>
        <w:t xml:space="preserve"> un suave incremento  (</w:t>
      </w:r>
      <w:r w:rsidR="00BA3611" w:rsidRPr="009423EA">
        <w:rPr>
          <w:rFonts w:ascii="Calibri" w:eastAsia="Calibri" w:hAnsi="Calibri" w:cs="Times New Roman"/>
          <w:color w:val="000000" w:themeColor="text1"/>
          <w:sz w:val="22"/>
          <w:szCs w:val="22"/>
          <w:lang w:val="es-AR" w:eastAsia="en-US"/>
        </w:rPr>
        <w:t>dólar</w:t>
      </w:r>
      <w:r w:rsidRPr="009423EA">
        <w:rPr>
          <w:rFonts w:ascii="Calibri" w:eastAsia="Calibri" w:hAnsi="Calibri" w:cs="Times New Roman"/>
          <w:color w:val="000000" w:themeColor="text1"/>
          <w:sz w:val="22"/>
          <w:szCs w:val="22"/>
          <w:lang w:val="es-AR" w:eastAsia="en-US"/>
        </w:rPr>
        <w:t xml:space="preserve"> oficial). Se puede observar este movimiento muy claro en el gráfico. El tipo de cambio  oficial (dólar) en los meses del 2020 se fue incrementando entre el 3.5 % y el 1.70 % mensual, un paso tranquilo y un promedio en el año 2020 del 2,9 %. En el 2021</w:t>
      </w:r>
      <w:r w:rsidR="00C1591C" w:rsidRPr="009423EA">
        <w:rPr>
          <w:rFonts w:ascii="Calibri" w:eastAsia="Calibri" w:hAnsi="Calibri" w:cs="Times New Roman"/>
          <w:color w:val="000000" w:themeColor="text1"/>
          <w:sz w:val="22"/>
          <w:szCs w:val="22"/>
          <w:lang w:val="es-AR" w:eastAsia="en-US"/>
        </w:rPr>
        <w:t xml:space="preserve">, </w:t>
      </w:r>
      <w:r w:rsidRPr="009423EA">
        <w:rPr>
          <w:rFonts w:ascii="Calibri" w:eastAsia="Calibri" w:hAnsi="Calibri" w:cs="Times New Roman"/>
          <w:color w:val="000000" w:themeColor="text1"/>
          <w:sz w:val="22"/>
          <w:szCs w:val="22"/>
          <w:lang w:val="es-AR" w:eastAsia="en-US"/>
        </w:rPr>
        <w:t xml:space="preserve">enero se inicia con un piso más elevado, pero luego retorna a un valor menor que continúa hasta el </w:t>
      </w:r>
      <w:r w:rsidR="00BA3611" w:rsidRPr="009423EA">
        <w:rPr>
          <w:rFonts w:ascii="Calibri" w:eastAsia="Calibri" w:hAnsi="Calibri" w:cs="Times New Roman"/>
          <w:color w:val="000000" w:themeColor="text1"/>
          <w:sz w:val="22"/>
          <w:szCs w:val="22"/>
          <w:lang w:val="es-AR" w:eastAsia="en-US"/>
        </w:rPr>
        <w:t>momento</w:t>
      </w:r>
      <w:r w:rsidRPr="009423EA">
        <w:rPr>
          <w:rFonts w:ascii="Calibri" w:eastAsia="Calibri" w:hAnsi="Calibri" w:cs="Times New Roman"/>
          <w:color w:val="000000" w:themeColor="text1"/>
          <w:sz w:val="22"/>
          <w:szCs w:val="22"/>
          <w:lang w:val="es-AR" w:eastAsia="en-US"/>
        </w:rPr>
        <w:t xml:space="preserve">, pero vale la </w:t>
      </w:r>
      <w:r w:rsidR="00BA3611" w:rsidRPr="009423EA">
        <w:rPr>
          <w:rFonts w:ascii="Calibri" w:eastAsia="Calibri" w:hAnsi="Calibri" w:cs="Times New Roman"/>
          <w:color w:val="000000" w:themeColor="text1"/>
          <w:sz w:val="22"/>
          <w:szCs w:val="22"/>
          <w:lang w:val="es-AR" w:eastAsia="en-US"/>
        </w:rPr>
        <w:t>aclaración</w:t>
      </w:r>
      <w:r w:rsidRPr="009423EA">
        <w:rPr>
          <w:rFonts w:ascii="Calibri" w:eastAsia="Calibri" w:hAnsi="Calibri" w:cs="Times New Roman"/>
          <w:color w:val="000000" w:themeColor="text1"/>
          <w:sz w:val="22"/>
          <w:szCs w:val="22"/>
          <w:lang w:val="es-AR" w:eastAsia="en-US"/>
        </w:rPr>
        <w:t xml:space="preserve"> que en los </w:t>
      </w:r>
      <w:r w:rsidR="00BA3611" w:rsidRPr="009423EA">
        <w:rPr>
          <w:rFonts w:ascii="Calibri" w:eastAsia="Calibri" w:hAnsi="Calibri" w:cs="Times New Roman"/>
          <w:color w:val="000000" w:themeColor="text1"/>
          <w:sz w:val="22"/>
          <w:szCs w:val="22"/>
          <w:lang w:val="es-AR" w:eastAsia="en-US"/>
        </w:rPr>
        <w:t>últimos</w:t>
      </w:r>
      <w:r w:rsidRPr="009423EA">
        <w:rPr>
          <w:rFonts w:ascii="Calibri" w:eastAsia="Calibri" w:hAnsi="Calibri" w:cs="Times New Roman"/>
          <w:color w:val="000000" w:themeColor="text1"/>
          <w:sz w:val="22"/>
          <w:szCs w:val="22"/>
          <w:lang w:val="es-AR" w:eastAsia="en-US"/>
        </w:rPr>
        <w:t xml:space="preserve"> dos meses (enero y febrero 2022) se percibe un leve aumento.</w:t>
      </w:r>
    </w:p>
    <w:p w14:paraId="638B7946" w14:textId="4521E844"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La inflación mensual anualizada está siempre presente, pero con altibajos. Recordemos que los mayores aumentos en el corto plazo fueron en DICIEMBRE del 2020 y ENERO y DICIEMBRE </w:t>
      </w:r>
      <w:r w:rsidR="00C1591C" w:rsidRPr="009423EA">
        <w:rPr>
          <w:rFonts w:ascii="Calibri" w:eastAsia="Calibri" w:hAnsi="Calibri" w:cs="Times New Roman"/>
          <w:color w:val="000000" w:themeColor="text1"/>
          <w:sz w:val="22"/>
          <w:szCs w:val="22"/>
          <w:lang w:val="es-AR" w:eastAsia="en-US"/>
        </w:rPr>
        <w:t xml:space="preserve">del </w:t>
      </w:r>
      <w:r w:rsidRPr="009423EA">
        <w:rPr>
          <w:rFonts w:ascii="Calibri" w:eastAsia="Calibri" w:hAnsi="Calibri" w:cs="Times New Roman"/>
          <w:color w:val="000000" w:themeColor="text1"/>
          <w:sz w:val="22"/>
          <w:szCs w:val="22"/>
          <w:lang w:val="es-AR" w:eastAsia="en-US"/>
        </w:rPr>
        <w:t xml:space="preserve">2021, y actualmente en </w:t>
      </w:r>
      <w:r w:rsidR="00BA3611" w:rsidRPr="009423EA">
        <w:rPr>
          <w:rFonts w:ascii="Calibri" w:eastAsia="Calibri" w:hAnsi="Calibri" w:cs="Times New Roman"/>
          <w:color w:val="000000" w:themeColor="text1"/>
          <w:sz w:val="22"/>
          <w:szCs w:val="22"/>
          <w:lang w:val="es-AR" w:eastAsia="en-US"/>
        </w:rPr>
        <w:t>febrero</w:t>
      </w:r>
      <w:r w:rsidRPr="009423EA">
        <w:rPr>
          <w:rFonts w:ascii="Calibri" w:eastAsia="Calibri" w:hAnsi="Calibri" w:cs="Times New Roman"/>
          <w:color w:val="000000" w:themeColor="text1"/>
          <w:sz w:val="22"/>
          <w:szCs w:val="22"/>
          <w:lang w:val="es-AR" w:eastAsia="en-US"/>
        </w:rPr>
        <w:t xml:space="preserve"> </w:t>
      </w:r>
      <w:r w:rsidR="00C1591C" w:rsidRPr="009423EA">
        <w:rPr>
          <w:rFonts w:ascii="Calibri" w:eastAsia="Calibri" w:hAnsi="Calibri" w:cs="Times New Roman"/>
          <w:color w:val="000000" w:themeColor="text1"/>
          <w:sz w:val="22"/>
          <w:szCs w:val="22"/>
          <w:lang w:val="es-AR" w:eastAsia="en-US"/>
        </w:rPr>
        <w:t xml:space="preserve">de </w:t>
      </w:r>
      <w:r w:rsidRPr="009423EA">
        <w:rPr>
          <w:rFonts w:ascii="Calibri" w:eastAsia="Calibri" w:hAnsi="Calibri" w:cs="Times New Roman"/>
          <w:color w:val="000000" w:themeColor="text1"/>
          <w:sz w:val="22"/>
          <w:szCs w:val="22"/>
          <w:lang w:val="es-AR" w:eastAsia="en-US"/>
        </w:rPr>
        <w:t xml:space="preserve">2022. La tasa real (negativa) prevalece y en el </w:t>
      </w:r>
      <w:r w:rsidR="00BA3611" w:rsidRPr="009423EA">
        <w:rPr>
          <w:rFonts w:ascii="Calibri" w:eastAsia="Calibri" w:hAnsi="Calibri" w:cs="Times New Roman"/>
          <w:color w:val="000000" w:themeColor="text1"/>
          <w:sz w:val="22"/>
          <w:szCs w:val="22"/>
          <w:lang w:val="es-AR" w:eastAsia="en-US"/>
        </w:rPr>
        <w:t>último</w:t>
      </w:r>
      <w:r w:rsidRPr="009423EA">
        <w:rPr>
          <w:rFonts w:ascii="Calibri" w:eastAsia="Calibri" w:hAnsi="Calibri" w:cs="Times New Roman"/>
          <w:color w:val="000000" w:themeColor="text1"/>
          <w:sz w:val="22"/>
          <w:szCs w:val="22"/>
          <w:lang w:val="es-AR" w:eastAsia="en-US"/>
        </w:rPr>
        <w:t xml:space="preserve"> mes se agudiz</w:t>
      </w:r>
      <w:r w:rsidR="00C1591C" w:rsidRPr="009423EA">
        <w:rPr>
          <w:rFonts w:ascii="Calibri" w:eastAsia="Calibri" w:hAnsi="Calibri" w:cs="Times New Roman"/>
          <w:color w:val="000000" w:themeColor="text1"/>
          <w:sz w:val="22"/>
          <w:szCs w:val="22"/>
          <w:lang w:val="es-AR" w:eastAsia="en-US"/>
        </w:rPr>
        <w:t>a</w:t>
      </w:r>
      <w:r w:rsidRPr="009423EA">
        <w:rPr>
          <w:rFonts w:ascii="Calibri" w:eastAsia="Calibri" w:hAnsi="Calibri" w:cs="Times New Roman"/>
          <w:color w:val="000000" w:themeColor="text1"/>
          <w:sz w:val="22"/>
          <w:szCs w:val="22"/>
          <w:lang w:val="es-AR" w:eastAsia="en-US"/>
        </w:rPr>
        <w:t>.</w:t>
      </w:r>
    </w:p>
    <w:p w14:paraId="78B868BD" w14:textId="12767669"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Aclaramos que nos referimos a la Tasa de Política Monetaria, no a la tasa de depósitos o plazos fijos de particulares. En la nueva gestión la tasa de Política Monetaria ha estado asociada a la disminución de la inflación. Se ha mantenido en el 38 % desde hace más de un año, en los dos </w:t>
      </w:r>
      <w:r w:rsidR="00BA3611" w:rsidRPr="009423EA">
        <w:rPr>
          <w:rFonts w:ascii="Calibri" w:eastAsia="Calibri" w:hAnsi="Calibri" w:cs="Times New Roman"/>
          <w:color w:val="000000" w:themeColor="text1"/>
          <w:sz w:val="22"/>
          <w:szCs w:val="22"/>
          <w:lang w:val="es-AR" w:eastAsia="en-US"/>
        </w:rPr>
        <w:t>últimos</w:t>
      </w:r>
      <w:r w:rsidRPr="009423EA">
        <w:rPr>
          <w:rFonts w:ascii="Calibri" w:eastAsia="Calibri" w:hAnsi="Calibri" w:cs="Times New Roman"/>
          <w:color w:val="000000" w:themeColor="text1"/>
          <w:sz w:val="22"/>
          <w:szCs w:val="22"/>
          <w:lang w:val="es-AR" w:eastAsia="en-US"/>
        </w:rPr>
        <w:t xml:space="preserve"> meses aumenta en un punto</w:t>
      </w:r>
      <w:r w:rsidR="00C1591C"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y eso define finalmente la tasa real en relación a la inflación del mes. Negativa en los meses.</w:t>
      </w:r>
    </w:p>
    <w:p w14:paraId="6F5EF8E3" w14:textId="0058DF28" w:rsidR="00194852" w:rsidRPr="009423EA" w:rsidRDefault="00041ABC" w:rsidP="00E91E95">
      <w:pPr>
        <w:spacing w:after="160" w:line="259" w:lineRule="auto"/>
        <w:jc w:val="both"/>
        <w:rPr>
          <w:rFonts w:ascii="Calibri" w:eastAsia="Calibri" w:hAnsi="Calibri" w:cs="Times New Roman"/>
          <w:color w:val="000000" w:themeColor="text1"/>
          <w:sz w:val="22"/>
          <w:szCs w:val="22"/>
          <w:lang w:val="es-AR" w:eastAsia="en-US"/>
        </w:rPr>
      </w:pPr>
      <w:r>
        <w:rPr>
          <w:rFonts w:ascii="Calibri" w:eastAsia="Calibri" w:hAnsi="Calibri" w:cs="Times New Roman"/>
          <w:noProof/>
          <w:color w:val="000000" w:themeColor="text1"/>
          <w:sz w:val="22"/>
          <w:szCs w:val="22"/>
          <w:lang w:val="es-AR" w:eastAsia="es-AR"/>
        </w:rPr>
        <w:lastRenderedPageBreak/>
        <w:drawing>
          <wp:inline distT="0" distB="0" distL="0" distR="0" wp14:anchorId="1B9D6A54" wp14:editId="5D5140CF">
            <wp:extent cx="4464000" cy="324067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4000" cy="3240678"/>
                    </a:xfrm>
                    <a:prstGeom prst="rect">
                      <a:avLst/>
                    </a:prstGeom>
                    <a:noFill/>
                  </pic:spPr>
                </pic:pic>
              </a:graphicData>
            </a:graphic>
          </wp:inline>
        </w:drawing>
      </w:r>
    </w:p>
    <w:p w14:paraId="364D0136" w14:textId="2EB6F0E8" w:rsidR="0086039A" w:rsidRPr="009423EA" w:rsidRDefault="009F72D3" w:rsidP="00E91E95">
      <w:pPr>
        <w:spacing w:after="160" w:line="259" w:lineRule="auto"/>
        <w:jc w:val="both"/>
        <w:rPr>
          <w:rFonts w:ascii="Calibri" w:eastAsia="Calibri" w:hAnsi="Calibri" w:cs="Times New Roman"/>
          <w:b/>
          <w:bCs/>
          <w:color w:val="1F497D" w:themeColor="text2"/>
          <w:sz w:val="28"/>
          <w:szCs w:val="28"/>
          <w:lang w:val="es-ES" w:eastAsia="en-US"/>
        </w:rPr>
      </w:pPr>
      <w:r w:rsidRPr="009423EA">
        <w:rPr>
          <w:rFonts w:ascii="Calibri" w:eastAsia="Calibri" w:hAnsi="Calibri" w:cs="Times New Roman"/>
          <w:b/>
          <w:bCs/>
          <w:color w:val="1F497D" w:themeColor="text2"/>
          <w:sz w:val="28"/>
          <w:szCs w:val="28"/>
          <w:lang w:val="es-ES" w:eastAsia="en-US"/>
        </w:rPr>
        <w:t>Desconfianza y atesoramiento:</w:t>
      </w:r>
    </w:p>
    <w:p w14:paraId="3935B6D0" w14:textId="77777777"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
          <w:bCs/>
          <w:color w:val="000000" w:themeColor="text1"/>
          <w:sz w:val="22"/>
          <w:szCs w:val="22"/>
          <w:u w:val="single"/>
          <w:lang w:val="es-ES" w:eastAsia="en-US"/>
        </w:rPr>
        <w:t xml:space="preserve">Cabeza bimonetaria: </w:t>
      </w:r>
      <w:r w:rsidRPr="009423EA">
        <w:rPr>
          <w:rFonts w:ascii="Calibri" w:eastAsia="Calibri" w:hAnsi="Calibri" w:cs="Times New Roman"/>
          <w:bCs/>
          <w:color w:val="000000" w:themeColor="text1"/>
          <w:sz w:val="22"/>
          <w:szCs w:val="22"/>
          <w:lang w:val="es-ES" w:eastAsia="en-US"/>
        </w:rPr>
        <w:t xml:space="preserve">Muy asociado a lo anterior, podemos ponerles números a la desconfianza bimonetaria de los argentinos, razonable por otra parte. Recordemos que, en el 2017, la cuenta de los </w:t>
      </w:r>
      <w:r w:rsidRPr="009423EA">
        <w:rPr>
          <w:rFonts w:ascii="Calibri" w:eastAsia="Calibri" w:hAnsi="Calibri" w:cs="Times New Roman"/>
          <w:b/>
          <w:bCs/>
          <w:color w:val="000000" w:themeColor="text1"/>
          <w:sz w:val="22"/>
          <w:szCs w:val="22"/>
          <w:lang w:val="es-ES" w:eastAsia="en-US"/>
        </w:rPr>
        <w:t xml:space="preserve">Privados No Financieros </w:t>
      </w:r>
      <w:r w:rsidRPr="009423EA">
        <w:rPr>
          <w:rFonts w:ascii="Calibri" w:eastAsia="Calibri" w:hAnsi="Calibri" w:cs="Times New Roman"/>
          <w:bCs/>
          <w:i/>
          <w:i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esta cuenta</w:t>
      </w:r>
      <w:r w:rsidRPr="009423EA">
        <w:rPr>
          <w:rFonts w:ascii="Calibri" w:eastAsia="Calibri" w:hAnsi="Calibri" w:cs="Times New Roman"/>
          <w:bCs/>
          <w:i/>
          <w:iCs/>
          <w:color w:val="000000" w:themeColor="text1"/>
          <w:sz w:val="22"/>
          <w:szCs w:val="22"/>
          <w:lang w:val="es-ES" w:eastAsia="en-US"/>
        </w:rPr>
        <w:t xml:space="preserve"> </w:t>
      </w:r>
      <w:r w:rsidRPr="009423EA">
        <w:rPr>
          <w:rFonts w:ascii="Calibri" w:eastAsia="Calibri" w:hAnsi="Calibri" w:cs="Times New Roman"/>
          <w:bCs/>
          <w:i/>
          <w:iCs/>
          <w:color w:val="000000" w:themeColor="text1"/>
          <w:sz w:val="22"/>
          <w:szCs w:val="22"/>
          <w:lang w:val="es-AR" w:eastAsia="en-US"/>
        </w:rPr>
        <w:t xml:space="preserve">“Registra el neto de las compras y ventas de billetes y las operaciones cursadas en el MULC”) </w:t>
      </w:r>
      <w:r w:rsidRPr="009423EA">
        <w:rPr>
          <w:rFonts w:ascii="Calibri" w:eastAsia="Calibri" w:hAnsi="Calibri" w:cs="Times New Roman"/>
          <w:bCs/>
          <w:color w:val="000000" w:themeColor="text1"/>
          <w:sz w:val="22"/>
          <w:szCs w:val="22"/>
          <w:lang w:val="es-ES" w:eastAsia="en-US"/>
        </w:rPr>
        <w:t>resultó (negativa) en u$s -22.147 millones. En el 2018, la cifra (negativa) fue de u$s -27.229 millones y la suma de enero a diciembre de 2019 (negativa) en u$s -26.870 millones. El total de estas cifras produce vértigo, saca de los carriles a cualquier gobierno y destruye el horizonte de la actividad económica.</w:t>
      </w:r>
    </w:p>
    <w:p w14:paraId="5CB320B4" w14:textId="77777777"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¿Y qué pasó desde enero a diciembre del 2020? La desconfianza se neutralizó parcialmente en montos, pero no en multitudes movilizadas. Se frenaron con las fuertes medidas adoptadas y, aun en ese contexto, el acumulado de los 12 meses fue de u$s 3.053 millones negativos. Frente a esto las autoridades dieron una nueva vuelta de rosca a las restricciones de compra de billetes. </w:t>
      </w:r>
    </w:p>
    <w:p w14:paraId="5EFA7CBE" w14:textId="77777777"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Para tener en cuenta lo informado por el BCRA sobre la cantidad de personas que compraron billetes: </w:t>
      </w:r>
    </w:p>
    <w:p w14:paraId="4A907FAE" w14:textId="77777777"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t xml:space="preserve">En agosto </w:t>
      </w:r>
      <w:r w:rsidRPr="009423EA">
        <w:rPr>
          <w:rFonts w:ascii="Calibri" w:eastAsia="Calibri" w:hAnsi="Calibri" w:cs="Times New Roman"/>
          <w:b/>
          <w:bCs/>
          <w:color w:val="000000" w:themeColor="text1"/>
          <w:sz w:val="22"/>
          <w:szCs w:val="22"/>
          <w:lang w:val="es-ES" w:eastAsia="en-US"/>
        </w:rPr>
        <w:t>de 2019</w:t>
      </w:r>
      <w:r w:rsidRPr="009423EA">
        <w:rPr>
          <w:rFonts w:ascii="Calibri" w:eastAsia="Calibri" w:hAnsi="Calibri" w:cs="Times New Roman"/>
          <w:bCs/>
          <w:color w:val="000000" w:themeColor="text1"/>
          <w:sz w:val="22"/>
          <w:szCs w:val="22"/>
          <w:lang w:val="es-ES" w:eastAsia="en-US"/>
        </w:rPr>
        <w:t>, 1.300.000 (personas); en septiembre, 1.690.000 (personas); en octubre, 2.556.000 (personas); en noviembre, 1.770.000 (personas); en diciembre, 2.660.000 (personas</w:t>
      </w:r>
      <w:r w:rsidRPr="009423EA">
        <w:rPr>
          <w:rFonts w:ascii="Calibri" w:eastAsia="Calibri" w:hAnsi="Calibri" w:cs="Times New Roman"/>
          <w:b/>
          <w:bCs/>
          <w:color w:val="000000" w:themeColor="text1"/>
          <w:sz w:val="22"/>
          <w:szCs w:val="22"/>
          <w:lang w:val="es-ES" w:eastAsia="en-US"/>
        </w:rPr>
        <w:t xml:space="preserve">); ya en el 2020 </w:t>
      </w:r>
      <w:r w:rsidRPr="009423EA">
        <w:rPr>
          <w:rFonts w:ascii="Calibri" w:eastAsia="Calibri" w:hAnsi="Calibri" w:cs="Times New Roman"/>
          <w:bCs/>
          <w:color w:val="000000" w:themeColor="text1"/>
          <w:sz w:val="22"/>
          <w:szCs w:val="22"/>
          <w:lang w:val="es-ES" w:eastAsia="en-US"/>
        </w:rPr>
        <w:t xml:space="preserve">en enero compraron dólares 600.000 (personas); en febrero, 455.000 (personas); en marzo, 435.000 (personas); en abril, 1.200.000 (personas); en mayo, 2.400.000 (personas); en junio, 3.300.000 (personas); en julio, 3.900.000 (personas); en agosto, 4.000.000 (personas); </w:t>
      </w:r>
      <w:r w:rsidRPr="009423EA">
        <w:rPr>
          <w:rFonts w:ascii="Calibri" w:eastAsia="Calibri" w:hAnsi="Calibri" w:cs="Times New Roman"/>
          <w:bCs/>
          <w:color w:val="000000" w:themeColor="text1"/>
          <w:sz w:val="22"/>
          <w:szCs w:val="22"/>
          <w:lang w:val="es-AR" w:eastAsia="en-US"/>
        </w:rPr>
        <w:t xml:space="preserve"> en setiembre, 3.400.000 (personas);  en octubre, 1.100.000, en noviembre 971.000 (personas) y en diciembre 851.000 (personas). </w:t>
      </w:r>
    </w:p>
    <w:p w14:paraId="247F1D50" w14:textId="5811209B"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
          <w:bCs/>
          <w:color w:val="000000" w:themeColor="text1"/>
          <w:sz w:val="22"/>
          <w:szCs w:val="22"/>
          <w:lang w:val="es-ES" w:eastAsia="en-US"/>
        </w:rPr>
        <w:t>En enero del 2021</w:t>
      </w:r>
      <w:r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
          <w:bCs/>
          <w:color w:val="000000" w:themeColor="text1"/>
          <w:sz w:val="22"/>
          <w:szCs w:val="22"/>
          <w:lang w:val="es-ES" w:eastAsia="en-US"/>
        </w:rPr>
        <w:t xml:space="preserve"> 754</w:t>
      </w:r>
      <w:r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
          <w:bCs/>
          <w:color w:val="000000" w:themeColor="text1"/>
          <w:sz w:val="22"/>
          <w:szCs w:val="22"/>
          <w:lang w:val="es-ES" w:eastAsia="en-US"/>
        </w:rPr>
        <w:t>000</w:t>
      </w:r>
      <w:r w:rsidRPr="009423EA">
        <w:rPr>
          <w:rFonts w:ascii="Calibri" w:eastAsia="Calibri" w:hAnsi="Calibri" w:cs="Times New Roman"/>
          <w:bCs/>
          <w:color w:val="000000" w:themeColor="text1"/>
          <w:sz w:val="22"/>
          <w:szCs w:val="22"/>
          <w:lang w:val="es-ES" w:eastAsia="en-US"/>
        </w:rPr>
        <w:t xml:space="preserve"> personas concurrieron abnegadamente a comprar los u$s 200 mensuales permitidos. De no haber sido por los Home Banking las multitudes cubrirían las calles, pero mucho menos que en meses anteriores. Los compradores de billetes en febrero del mismo año fueron 536.000; en marzo, 363.000; en abril, 307.000; en mayo, 304.000</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en junio, 443.000, </w:t>
      </w:r>
      <w:r w:rsidR="002B6A97" w:rsidRPr="009423EA">
        <w:rPr>
          <w:rFonts w:ascii="Calibri" w:eastAsia="Calibri" w:hAnsi="Calibri" w:cs="Times New Roman"/>
          <w:bCs/>
          <w:color w:val="000000" w:themeColor="text1"/>
          <w:sz w:val="22"/>
          <w:szCs w:val="22"/>
          <w:lang w:val="es-ES" w:eastAsia="en-US"/>
        </w:rPr>
        <w:t xml:space="preserve">y </w:t>
      </w:r>
      <w:r w:rsidRPr="009423EA">
        <w:rPr>
          <w:rFonts w:ascii="Calibri" w:eastAsia="Calibri" w:hAnsi="Calibri" w:cs="Times New Roman"/>
          <w:bCs/>
          <w:color w:val="000000" w:themeColor="text1"/>
          <w:sz w:val="22"/>
          <w:szCs w:val="22"/>
          <w:lang w:val="es-ES" w:eastAsia="en-US"/>
        </w:rPr>
        <w:t>en julio</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690.000. </w:t>
      </w:r>
      <w:r w:rsidR="00BA3611" w:rsidRPr="009423EA">
        <w:rPr>
          <w:rFonts w:ascii="Calibri" w:eastAsia="Calibri" w:hAnsi="Calibri" w:cs="Times New Roman"/>
          <w:bCs/>
          <w:color w:val="000000" w:themeColor="text1"/>
          <w:sz w:val="22"/>
          <w:szCs w:val="22"/>
          <w:lang w:val="es-ES" w:eastAsia="en-US"/>
        </w:rPr>
        <w:t>En</w:t>
      </w:r>
      <w:r w:rsidRPr="009423EA">
        <w:rPr>
          <w:rFonts w:ascii="Calibri" w:eastAsia="Calibri" w:hAnsi="Calibri" w:cs="Times New Roman"/>
          <w:bCs/>
          <w:color w:val="000000" w:themeColor="text1"/>
          <w:sz w:val="22"/>
          <w:szCs w:val="22"/>
          <w:lang w:val="es-ES" w:eastAsia="en-US"/>
        </w:rPr>
        <w:t xml:space="preserve"> agosto </w:t>
      </w:r>
      <w:r w:rsidR="002B6A97" w:rsidRPr="009423EA">
        <w:rPr>
          <w:rFonts w:ascii="Calibri" w:eastAsia="Calibri" w:hAnsi="Calibri" w:cs="Times New Roman"/>
          <w:bCs/>
          <w:color w:val="000000" w:themeColor="text1"/>
          <w:sz w:val="22"/>
          <w:szCs w:val="22"/>
          <w:lang w:val="es-ES" w:eastAsia="en-US"/>
        </w:rPr>
        <w:t xml:space="preserve">del </w:t>
      </w:r>
      <w:r w:rsidRPr="009423EA">
        <w:rPr>
          <w:rFonts w:ascii="Calibri" w:eastAsia="Calibri" w:hAnsi="Calibri" w:cs="Times New Roman"/>
          <w:bCs/>
          <w:color w:val="000000" w:themeColor="text1"/>
          <w:sz w:val="22"/>
          <w:szCs w:val="22"/>
          <w:lang w:val="es-ES" w:eastAsia="en-US"/>
        </w:rPr>
        <w:t>2021 fueron 697.000</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en setiembre</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746.000</w:t>
      </w:r>
      <w:r w:rsidR="002B6A97" w:rsidRPr="009423EA">
        <w:rPr>
          <w:rFonts w:ascii="Calibri" w:eastAsia="Calibri" w:hAnsi="Calibri" w:cs="Times New Roman"/>
          <w:bCs/>
          <w:color w:val="000000" w:themeColor="text1"/>
          <w:sz w:val="22"/>
          <w:szCs w:val="22"/>
          <w:lang w:val="es-ES" w:eastAsia="en-US"/>
        </w:rPr>
        <w:t xml:space="preserve">; </w:t>
      </w:r>
      <w:r w:rsidRPr="009423EA">
        <w:rPr>
          <w:rFonts w:ascii="Calibri" w:eastAsia="Calibri" w:hAnsi="Calibri" w:cs="Times New Roman"/>
          <w:bCs/>
          <w:color w:val="000000" w:themeColor="text1"/>
          <w:sz w:val="22"/>
          <w:szCs w:val="22"/>
          <w:lang w:val="es-ES" w:eastAsia="en-US"/>
        </w:rPr>
        <w:t>en octubre</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762.000</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en noviembre</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926.000</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w:t>
      </w:r>
      <w:r w:rsidR="00BA3611" w:rsidRPr="009423EA">
        <w:rPr>
          <w:rFonts w:ascii="Calibri" w:eastAsia="Calibri" w:hAnsi="Calibri" w:cs="Times New Roman"/>
          <w:bCs/>
          <w:color w:val="000000" w:themeColor="text1"/>
          <w:sz w:val="22"/>
          <w:szCs w:val="22"/>
          <w:lang w:val="es-ES" w:eastAsia="en-US"/>
        </w:rPr>
        <w:t>en</w:t>
      </w:r>
      <w:r w:rsidRPr="009423EA">
        <w:rPr>
          <w:rFonts w:ascii="Calibri" w:eastAsia="Calibri" w:hAnsi="Calibri" w:cs="Times New Roman"/>
          <w:bCs/>
          <w:color w:val="000000" w:themeColor="text1"/>
          <w:sz w:val="22"/>
          <w:szCs w:val="22"/>
          <w:lang w:val="es-ES" w:eastAsia="en-US"/>
        </w:rPr>
        <w:t xml:space="preserve"> diciembre</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907.000</w:t>
      </w:r>
      <w:r w:rsidR="002B6A97" w:rsidRPr="009423EA">
        <w:rPr>
          <w:rFonts w:ascii="Calibri" w:eastAsia="Calibri" w:hAnsi="Calibri" w:cs="Times New Roman"/>
          <w:bCs/>
          <w:color w:val="000000" w:themeColor="text1"/>
          <w:sz w:val="22"/>
          <w:szCs w:val="22"/>
          <w:lang w:val="es-ES" w:eastAsia="en-US"/>
        </w:rPr>
        <w:t>,</w:t>
      </w:r>
      <w:r w:rsidRPr="009423EA">
        <w:rPr>
          <w:rFonts w:ascii="Calibri" w:eastAsia="Calibri" w:hAnsi="Calibri" w:cs="Times New Roman"/>
          <w:bCs/>
          <w:color w:val="000000" w:themeColor="text1"/>
          <w:sz w:val="22"/>
          <w:szCs w:val="22"/>
          <w:lang w:val="es-ES" w:eastAsia="en-US"/>
        </w:rPr>
        <w:t xml:space="preserve"> y finalmente en febrero </w:t>
      </w:r>
      <w:r w:rsidR="002B6A97" w:rsidRPr="009423EA">
        <w:rPr>
          <w:rFonts w:ascii="Calibri" w:eastAsia="Calibri" w:hAnsi="Calibri" w:cs="Times New Roman"/>
          <w:bCs/>
          <w:color w:val="000000" w:themeColor="text1"/>
          <w:sz w:val="22"/>
          <w:szCs w:val="22"/>
          <w:lang w:val="es-ES" w:eastAsia="en-US"/>
        </w:rPr>
        <w:t xml:space="preserve">del </w:t>
      </w:r>
      <w:r w:rsidRPr="009423EA">
        <w:rPr>
          <w:rFonts w:ascii="Calibri" w:eastAsia="Calibri" w:hAnsi="Calibri" w:cs="Times New Roman"/>
          <w:b/>
          <w:bCs/>
          <w:color w:val="000000" w:themeColor="text1"/>
          <w:sz w:val="22"/>
          <w:szCs w:val="22"/>
          <w:lang w:val="es-ES" w:eastAsia="en-US"/>
        </w:rPr>
        <w:t>2022</w:t>
      </w:r>
      <w:r w:rsidRPr="009423EA">
        <w:rPr>
          <w:rFonts w:ascii="Calibri" w:eastAsia="Calibri" w:hAnsi="Calibri" w:cs="Times New Roman"/>
          <w:bCs/>
          <w:color w:val="000000" w:themeColor="text1"/>
          <w:sz w:val="22"/>
          <w:szCs w:val="22"/>
          <w:lang w:val="es-ES" w:eastAsia="en-US"/>
        </w:rPr>
        <w:t xml:space="preserve">, 1.000.000 de personas compraron billetes. No hay forma que decaiga el </w:t>
      </w:r>
      <w:r w:rsidR="002B6A97" w:rsidRPr="009423EA">
        <w:rPr>
          <w:rFonts w:ascii="Calibri" w:eastAsia="Calibri" w:hAnsi="Calibri" w:cs="Times New Roman"/>
          <w:bCs/>
          <w:color w:val="000000" w:themeColor="text1"/>
          <w:sz w:val="22"/>
          <w:szCs w:val="22"/>
          <w:lang w:val="es-ES" w:eastAsia="en-US"/>
        </w:rPr>
        <w:t xml:space="preserve">interés </w:t>
      </w:r>
      <w:r w:rsidRPr="009423EA">
        <w:rPr>
          <w:rFonts w:ascii="Calibri" w:eastAsia="Calibri" w:hAnsi="Calibri" w:cs="Times New Roman"/>
          <w:bCs/>
          <w:color w:val="000000" w:themeColor="text1"/>
          <w:sz w:val="22"/>
          <w:szCs w:val="22"/>
          <w:lang w:val="es-ES" w:eastAsia="en-US"/>
        </w:rPr>
        <w:t>de contar con un billete</w:t>
      </w:r>
      <w:r w:rsidR="002B6A97" w:rsidRPr="009423EA">
        <w:rPr>
          <w:rFonts w:ascii="Calibri" w:eastAsia="Calibri" w:hAnsi="Calibri" w:cs="Times New Roman"/>
          <w:bCs/>
          <w:color w:val="000000" w:themeColor="text1"/>
          <w:sz w:val="22"/>
          <w:szCs w:val="22"/>
          <w:lang w:val="es-ES" w:eastAsia="en-US"/>
        </w:rPr>
        <w:t xml:space="preserve"> verde</w:t>
      </w:r>
      <w:r w:rsidRPr="009423EA">
        <w:rPr>
          <w:rFonts w:ascii="Calibri" w:eastAsia="Calibri" w:hAnsi="Calibri" w:cs="Times New Roman"/>
          <w:bCs/>
          <w:color w:val="000000" w:themeColor="text1"/>
          <w:sz w:val="22"/>
          <w:szCs w:val="22"/>
          <w:lang w:val="es-ES" w:eastAsia="en-US"/>
        </w:rPr>
        <w:t>.</w:t>
      </w:r>
    </w:p>
    <w:p w14:paraId="3B945D81" w14:textId="7FD4874C" w:rsidR="008F4970" w:rsidRPr="009423EA" w:rsidRDefault="008F4970" w:rsidP="008F4970">
      <w:pPr>
        <w:spacing w:after="160" w:line="259" w:lineRule="auto"/>
        <w:jc w:val="both"/>
        <w:rPr>
          <w:rFonts w:ascii="Calibri" w:eastAsia="Calibri" w:hAnsi="Calibri" w:cs="Times New Roman"/>
          <w:bCs/>
          <w:color w:val="000000" w:themeColor="text1"/>
          <w:sz w:val="22"/>
          <w:szCs w:val="22"/>
          <w:lang w:val="es-AR" w:eastAsia="en-US"/>
        </w:rPr>
      </w:pPr>
      <w:r w:rsidRPr="009423EA">
        <w:rPr>
          <w:rFonts w:ascii="Calibri" w:eastAsia="Calibri" w:hAnsi="Calibri" w:cs="Times New Roman"/>
          <w:bCs/>
          <w:color w:val="000000" w:themeColor="text1"/>
          <w:sz w:val="22"/>
          <w:szCs w:val="22"/>
          <w:lang w:val="es-ES" w:eastAsia="en-US"/>
        </w:rPr>
        <w:lastRenderedPageBreak/>
        <w:t>Podemos aclarar que hoy por hoy esto no tiene solución sin cepo, y sin pensar en una fuerte devaluación que ponga patas arriba al país.</w:t>
      </w:r>
    </w:p>
    <w:p w14:paraId="0054C797" w14:textId="2C9AF932" w:rsidR="00194852" w:rsidRPr="009423EA" w:rsidRDefault="00C944A0" w:rsidP="00E91E95">
      <w:pPr>
        <w:spacing w:after="160" w:line="259" w:lineRule="auto"/>
        <w:jc w:val="both"/>
        <w:rPr>
          <w:rFonts w:ascii="Calibri" w:eastAsia="Calibri" w:hAnsi="Calibri" w:cs="Times New Roman"/>
          <w:bCs/>
          <w:color w:val="000000" w:themeColor="text1"/>
          <w:sz w:val="22"/>
          <w:szCs w:val="22"/>
          <w:lang w:val="es-ES" w:eastAsia="en-US"/>
        </w:rPr>
      </w:pPr>
      <w:r>
        <w:rPr>
          <w:rFonts w:ascii="Calibri" w:eastAsia="Calibri" w:hAnsi="Calibri" w:cs="Times New Roman"/>
          <w:bCs/>
          <w:noProof/>
          <w:color w:val="000000" w:themeColor="text1"/>
          <w:sz w:val="22"/>
          <w:szCs w:val="22"/>
          <w:lang w:val="es-AR" w:eastAsia="es-AR"/>
        </w:rPr>
        <w:drawing>
          <wp:inline distT="0" distB="0" distL="0" distR="0" wp14:anchorId="7E4EB25C" wp14:editId="1F395750">
            <wp:extent cx="4464000" cy="324067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4000" cy="3240678"/>
                    </a:xfrm>
                    <a:prstGeom prst="rect">
                      <a:avLst/>
                    </a:prstGeom>
                    <a:noFill/>
                  </pic:spPr>
                </pic:pic>
              </a:graphicData>
            </a:graphic>
          </wp:inline>
        </w:drawing>
      </w:r>
    </w:p>
    <w:p w14:paraId="4A24698B" w14:textId="645B5467" w:rsidR="00166DE1" w:rsidRPr="009423EA" w:rsidRDefault="0086039A" w:rsidP="00166DE1">
      <w:pPr>
        <w:spacing w:after="160" w:line="259" w:lineRule="auto"/>
        <w:jc w:val="both"/>
        <w:rPr>
          <w:rFonts w:ascii="Calibri" w:eastAsia="Calibri" w:hAnsi="Calibri" w:cs="Times New Roman"/>
          <w:b/>
          <w:color w:val="1F497D" w:themeColor="text2"/>
          <w:sz w:val="28"/>
          <w:szCs w:val="28"/>
          <w:lang w:val="es-ES" w:eastAsia="en-US"/>
        </w:rPr>
      </w:pPr>
      <w:r w:rsidRPr="009423EA">
        <w:rPr>
          <w:rFonts w:ascii="Calibri" w:eastAsia="Calibri" w:hAnsi="Calibri" w:cs="Times New Roman"/>
          <w:b/>
          <w:color w:val="1F497D" w:themeColor="text2"/>
          <w:sz w:val="28"/>
          <w:szCs w:val="28"/>
          <w:lang w:val="es-ES" w:eastAsia="en-US"/>
        </w:rPr>
        <w:t>Riesgo País</w:t>
      </w:r>
      <w:r w:rsidR="009F72D3" w:rsidRPr="009423EA">
        <w:rPr>
          <w:rFonts w:ascii="Calibri" w:eastAsia="Calibri" w:hAnsi="Calibri" w:cs="Times New Roman"/>
          <w:b/>
          <w:color w:val="1F497D" w:themeColor="text2"/>
          <w:sz w:val="28"/>
          <w:szCs w:val="28"/>
          <w:lang w:val="es-ES" w:eastAsia="en-US"/>
        </w:rPr>
        <w:t>:</w:t>
      </w:r>
    </w:p>
    <w:p w14:paraId="7A9E4297" w14:textId="241CADDB"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Así como en el 2019 cerró en aumento con un número superior a los 2.000 puntos, el 2020 finaliza con 1.390. La economía como la pandemia sigue avanzando y lleva el Riesgo País a 1.761 puntos en febrero</w:t>
      </w:r>
      <w:r w:rsidR="002B6A97" w:rsidRPr="009423EA">
        <w:rPr>
          <w:rFonts w:ascii="Calibri" w:eastAsia="Calibri" w:hAnsi="Calibri" w:cs="Times New Roman"/>
          <w:color w:val="000000" w:themeColor="text1"/>
          <w:sz w:val="22"/>
          <w:szCs w:val="22"/>
          <w:lang w:val="es-AR" w:eastAsia="en-US"/>
        </w:rPr>
        <w:t xml:space="preserve"> del</w:t>
      </w:r>
      <w:r w:rsidRPr="009423EA">
        <w:rPr>
          <w:rFonts w:ascii="Calibri" w:eastAsia="Calibri" w:hAnsi="Calibri" w:cs="Times New Roman"/>
          <w:color w:val="000000" w:themeColor="text1"/>
          <w:sz w:val="22"/>
          <w:szCs w:val="22"/>
          <w:lang w:val="es-AR" w:eastAsia="en-US"/>
        </w:rPr>
        <w:t xml:space="preserve"> 2022. </w:t>
      </w:r>
    </w:p>
    <w:p w14:paraId="246D94EA" w14:textId="35D0AF69" w:rsidR="008F4970" w:rsidRPr="009423EA" w:rsidRDefault="00BA3611"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Decimos</w:t>
      </w:r>
      <w:r w:rsidR="008F4970" w:rsidRPr="009423EA">
        <w:rPr>
          <w:rFonts w:ascii="Calibri" w:eastAsia="Calibri" w:hAnsi="Calibri" w:cs="Times New Roman"/>
          <w:color w:val="000000" w:themeColor="text1"/>
          <w:sz w:val="22"/>
          <w:szCs w:val="22"/>
          <w:lang w:val="es-AR" w:eastAsia="en-US"/>
        </w:rPr>
        <w:t xml:space="preserve"> que seguramente durante el 2022 debiera disminuir, pero la afirmación anterior va en la misma dirección que el acuerdo con el FMI. Seguramente podremos observarlo, esperemos.</w:t>
      </w:r>
    </w:p>
    <w:p w14:paraId="1AF6AACE" w14:textId="3D7733A7"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En los primeros meses del 2018, el gobierno de Macri logra el menor Riesgo País, pero estaba incubándose el "huevo de la serpiente" que a partir de mayo de 2018 empezó a observarse. Luego fue un continuo ascenso. Pero digamos también que intervino el resultado electoral. Agosto </w:t>
      </w:r>
      <w:r w:rsidR="002B6A97" w:rsidRPr="009423EA">
        <w:rPr>
          <w:rFonts w:ascii="Calibri" w:eastAsia="Calibri" w:hAnsi="Calibri" w:cs="Times New Roman"/>
          <w:color w:val="000000" w:themeColor="text1"/>
          <w:sz w:val="22"/>
          <w:szCs w:val="22"/>
          <w:lang w:val="es-AR" w:eastAsia="en-US"/>
        </w:rPr>
        <w:t>y</w:t>
      </w:r>
      <w:r w:rsidRPr="009423EA">
        <w:rPr>
          <w:rFonts w:ascii="Calibri" w:eastAsia="Calibri" w:hAnsi="Calibri" w:cs="Times New Roman"/>
          <w:color w:val="000000" w:themeColor="text1"/>
          <w:sz w:val="22"/>
          <w:szCs w:val="22"/>
          <w:lang w:val="es-AR" w:eastAsia="en-US"/>
        </w:rPr>
        <w:t xml:space="preserve"> setiembre </w:t>
      </w:r>
      <w:r w:rsidR="002B6A97" w:rsidRPr="009423EA">
        <w:rPr>
          <w:rFonts w:ascii="Calibri" w:eastAsia="Calibri" w:hAnsi="Calibri" w:cs="Times New Roman"/>
          <w:color w:val="000000" w:themeColor="text1"/>
          <w:sz w:val="22"/>
          <w:szCs w:val="22"/>
          <w:lang w:val="es-AR" w:eastAsia="en-US"/>
        </w:rPr>
        <w:t xml:space="preserve">del </w:t>
      </w:r>
      <w:r w:rsidRPr="009423EA">
        <w:rPr>
          <w:rFonts w:ascii="Calibri" w:eastAsia="Calibri" w:hAnsi="Calibri" w:cs="Times New Roman"/>
          <w:color w:val="000000" w:themeColor="text1"/>
          <w:sz w:val="22"/>
          <w:szCs w:val="22"/>
          <w:lang w:val="es-AR" w:eastAsia="en-US"/>
        </w:rPr>
        <w:t xml:space="preserve">2019 fueron dos meses de sobresaltos y ahora el post Covid-19, pero con la deuda cerrada, y casi cerrado con </w:t>
      </w:r>
      <w:r w:rsidR="002B6A97" w:rsidRPr="009423EA">
        <w:rPr>
          <w:rFonts w:ascii="Calibri" w:eastAsia="Calibri" w:hAnsi="Calibri" w:cs="Times New Roman"/>
          <w:color w:val="000000" w:themeColor="text1"/>
          <w:sz w:val="22"/>
          <w:szCs w:val="22"/>
          <w:lang w:val="es-AR" w:eastAsia="en-US"/>
        </w:rPr>
        <w:t xml:space="preserve">el </w:t>
      </w:r>
      <w:r w:rsidRPr="009423EA">
        <w:rPr>
          <w:rFonts w:ascii="Calibri" w:eastAsia="Calibri" w:hAnsi="Calibri" w:cs="Times New Roman"/>
          <w:color w:val="000000" w:themeColor="text1"/>
          <w:sz w:val="22"/>
          <w:szCs w:val="22"/>
          <w:lang w:val="es-AR" w:eastAsia="en-US"/>
        </w:rPr>
        <w:t xml:space="preserve">FMI y el </w:t>
      </w:r>
      <w:r w:rsidR="002B6A97" w:rsidRPr="009423EA">
        <w:rPr>
          <w:rFonts w:ascii="Calibri" w:eastAsia="Calibri" w:hAnsi="Calibri" w:cs="Times New Roman"/>
          <w:color w:val="000000" w:themeColor="text1"/>
          <w:sz w:val="22"/>
          <w:szCs w:val="22"/>
          <w:lang w:val="es-AR" w:eastAsia="en-US"/>
        </w:rPr>
        <w:t xml:space="preserve">Club de París, </w:t>
      </w:r>
      <w:r w:rsidRPr="009423EA">
        <w:rPr>
          <w:rFonts w:ascii="Calibri" w:eastAsia="Calibri" w:hAnsi="Calibri" w:cs="Times New Roman"/>
          <w:color w:val="000000" w:themeColor="text1"/>
          <w:sz w:val="22"/>
          <w:szCs w:val="22"/>
          <w:lang w:val="es-AR" w:eastAsia="en-US"/>
        </w:rPr>
        <w:t>lo cual no es poco</w:t>
      </w:r>
      <w:r w:rsidR="002B6A97" w:rsidRPr="009423EA">
        <w:rPr>
          <w:rFonts w:ascii="Calibri" w:eastAsia="Calibri" w:hAnsi="Calibri" w:cs="Times New Roman"/>
          <w:color w:val="000000" w:themeColor="text1"/>
          <w:sz w:val="22"/>
          <w:szCs w:val="22"/>
          <w:lang w:val="es-AR" w:eastAsia="en-US"/>
        </w:rPr>
        <w:t>. P</w:t>
      </w:r>
      <w:r w:rsidRPr="009423EA">
        <w:rPr>
          <w:rFonts w:ascii="Calibri" w:eastAsia="Calibri" w:hAnsi="Calibri" w:cs="Times New Roman"/>
          <w:color w:val="000000" w:themeColor="text1"/>
          <w:sz w:val="22"/>
          <w:szCs w:val="22"/>
          <w:lang w:val="es-AR" w:eastAsia="en-US"/>
        </w:rPr>
        <w:t>arece qu</w:t>
      </w:r>
      <w:r w:rsidR="002B6A97" w:rsidRPr="009423EA">
        <w:rPr>
          <w:rFonts w:ascii="Calibri" w:eastAsia="Calibri" w:hAnsi="Calibri" w:cs="Times New Roman"/>
          <w:color w:val="000000" w:themeColor="text1"/>
          <w:sz w:val="22"/>
          <w:szCs w:val="22"/>
          <w:lang w:val="es-AR" w:eastAsia="en-US"/>
        </w:rPr>
        <w:t>e finalmente algo se soluciona, p</w:t>
      </w:r>
      <w:r w:rsidRPr="009423EA">
        <w:rPr>
          <w:rFonts w:ascii="Calibri" w:eastAsia="Calibri" w:hAnsi="Calibri" w:cs="Times New Roman"/>
          <w:color w:val="000000" w:themeColor="text1"/>
          <w:sz w:val="22"/>
          <w:szCs w:val="22"/>
          <w:lang w:val="es-AR" w:eastAsia="en-US"/>
        </w:rPr>
        <w:t xml:space="preserve">ero siempre estamos empezando y tropezando. Todo esto </w:t>
      </w:r>
      <w:r w:rsidR="002B6A97" w:rsidRPr="009423EA">
        <w:rPr>
          <w:rFonts w:ascii="Calibri" w:eastAsia="Calibri" w:hAnsi="Calibri" w:cs="Times New Roman"/>
          <w:color w:val="000000" w:themeColor="text1"/>
          <w:sz w:val="22"/>
          <w:szCs w:val="22"/>
          <w:lang w:val="es-AR" w:eastAsia="en-US"/>
        </w:rPr>
        <w:t xml:space="preserve">en </w:t>
      </w:r>
      <w:r w:rsidRPr="009423EA">
        <w:rPr>
          <w:rFonts w:ascii="Calibri" w:eastAsia="Calibri" w:hAnsi="Calibri" w:cs="Times New Roman"/>
          <w:color w:val="000000" w:themeColor="text1"/>
          <w:sz w:val="22"/>
          <w:szCs w:val="22"/>
          <w:lang w:val="es-AR" w:eastAsia="en-US"/>
        </w:rPr>
        <w:t>medio</w:t>
      </w:r>
      <w:r w:rsidR="002B6A97" w:rsidRPr="009423EA">
        <w:rPr>
          <w:rFonts w:ascii="Calibri" w:eastAsia="Calibri" w:hAnsi="Calibri" w:cs="Times New Roman"/>
          <w:color w:val="000000" w:themeColor="text1"/>
          <w:sz w:val="22"/>
          <w:szCs w:val="22"/>
          <w:lang w:val="es-AR" w:eastAsia="en-US"/>
        </w:rPr>
        <w:t xml:space="preserve"> de</w:t>
      </w:r>
      <w:r w:rsidRPr="009423EA">
        <w:rPr>
          <w:rFonts w:ascii="Calibri" w:eastAsia="Calibri" w:hAnsi="Calibri" w:cs="Times New Roman"/>
          <w:color w:val="000000" w:themeColor="text1"/>
          <w:sz w:val="22"/>
          <w:szCs w:val="22"/>
          <w:lang w:val="es-AR" w:eastAsia="en-US"/>
        </w:rPr>
        <w:t xml:space="preserve"> la invasión a Ucrania.</w:t>
      </w:r>
    </w:p>
    <w:p w14:paraId="0403537E" w14:textId="1554C202"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Lo que se puede decir es que desde agosto de 2019 las turbulencias azotaron el índice. El número es perturbador. Hoy sin elecciones por delante, se mantienen los sobresaltos y siempre se </w:t>
      </w:r>
      <w:r w:rsidR="00BA3611" w:rsidRPr="009423EA">
        <w:rPr>
          <w:rFonts w:ascii="Calibri" w:eastAsia="Calibri" w:hAnsi="Calibri" w:cs="Times New Roman"/>
          <w:color w:val="000000" w:themeColor="text1"/>
          <w:sz w:val="22"/>
          <w:szCs w:val="22"/>
          <w:lang w:val="es-AR" w:eastAsia="en-US"/>
        </w:rPr>
        <w:t>encuentra</w:t>
      </w:r>
      <w:r w:rsidRPr="009423EA">
        <w:rPr>
          <w:rFonts w:ascii="Calibri" w:eastAsia="Calibri" w:hAnsi="Calibri" w:cs="Times New Roman"/>
          <w:color w:val="000000" w:themeColor="text1"/>
          <w:sz w:val="22"/>
          <w:szCs w:val="22"/>
          <w:lang w:val="es-AR" w:eastAsia="en-US"/>
        </w:rPr>
        <w:t xml:space="preserve"> escollos, los propios y ahora los externos.</w:t>
      </w:r>
    </w:p>
    <w:p w14:paraId="142504D8" w14:textId="18C01CE2" w:rsidR="00194852" w:rsidRPr="009423EA" w:rsidRDefault="00C944A0" w:rsidP="00E91E95">
      <w:pPr>
        <w:spacing w:after="160" w:line="259" w:lineRule="auto"/>
        <w:jc w:val="both"/>
        <w:rPr>
          <w:rFonts w:ascii="Calibri" w:eastAsia="Calibri" w:hAnsi="Calibri" w:cs="Times New Roman"/>
          <w:color w:val="000000" w:themeColor="text1"/>
          <w:sz w:val="22"/>
          <w:szCs w:val="22"/>
          <w:lang w:val="es-ES" w:eastAsia="en-US"/>
        </w:rPr>
      </w:pPr>
      <w:r>
        <w:rPr>
          <w:rFonts w:ascii="Calibri" w:eastAsia="Calibri" w:hAnsi="Calibri" w:cs="Times New Roman"/>
          <w:noProof/>
          <w:color w:val="000000" w:themeColor="text1"/>
          <w:sz w:val="22"/>
          <w:szCs w:val="22"/>
          <w:lang w:val="es-AR" w:eastAsia="es-AR"/>
        </w:rPr>
        <w:lastRenderedPageBreak/>
        <w:drawing>
          <wp:inline distT="0" distB="0" distL="0" distR="0" wp14:anchorId="62E9573B" wp14:editId="13CE843D">
            <wp:extent cx="4461358" cy="324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1358" cy="3240000"/>
                    </a:xfrm>
                    <a:prstGeom prst="rect">
                      <a:avLst/>
                    </a:prstGeom>
                    <a:noFill/>
                  </pic:spPr>
                </pic:pic>
              </a:graphicData>
            </a:graphic>
          </wp:inline>
        </w:drawing>
      </w:r>
    </w:p>
    <w:p w14:paraId="27820DB8" w14:textId="038B3D52" w:rsidR="009C2B15" w:rsidRPr="009423EA" w:rsidRDefault="009D2E61" w:rsidP="009C2B15">
      <w:pPr>
        <w:spacing w:after="160" w:line="259" w:lineRule="auto"/>
        <w:jc w:val="both"/>
        <w:rPr>
          <w:rFonts w:ascii="Calibri" w:eastAsia="Calibri" w:hAnsi="Calibri" w:cs="Times New Roman"/>
          <w:b/>
          <w:color w:val="1F497D" w:themeColor="text2"/>
          <w:sz w:val="28"/>
          <w:szCs w:val="28"/>
          <w:lang w:val="es-AR" w:eastAsia="en-US"/>
        </w:rPr>
      </w:pPr>
      <w:r w:rsidRPr="009423EA">
        <w:rPr>
          <w:rFonts w:ascii="Calibri" w:eastAsia="Calibri" w:hAnsi="Calibri" w:cs="Times New Roman"/>
          <w:b/>
          <w:color w:val="1F497D" w:themeColor="text2"/>
          <w:sz w:val="28"/>
          <w:szCs w:val="28"/>
          <w:lang w:val="es-AR" w:eastAsia="en-US"/>
        </w:rPr>
        <w:t>Índice</w:t>
      </w:r>
      <w:r w:rsidR="009C2B15" w:rsidRPr="009423EA">
        <w:rPr>
          <w:rFonts w:ascii="Calibri" w:eastAsia="Calibri" w:hAnsi="Calibri" w:cs="Times New Roman"/>
          <w:b/>
          <w:color w:val="1F497D" w:themeColor="text2"/>
          <w:sz w:val="28"/>
          <w:szCs w:val="28"/>
          <w:lang w:val="es-AR" w:eastAsia="en-US"/>
        </w:rPr>
        <w:t xml:space="preserve"> </w:t>
      </w:r>
      <w:r w:rsidR="00C6104A" w:rsidRPr="009423EA">
        <w:rPr>
          <w:rFonts w:ascii="Calibri" w:eastAsia="Calibri" w:hAnsi="Calibri" w:cs="Times New Roman"/>
          <w:b/>
          <w:color w:val="1F497D" w:themeColor="text2"/>
          <w:sz w:val="28"/>
          <w:szCs w:val="28"/>
          <w:lang w:val="es-AR" w:eastAsia="en-US"/>
        </w:rPr>
        <w:t>T</w:t>
      </w:r>
      <w:r w:rsidR="009C2B15" w:rsidRPr="009423EA">
        <w:rPr>
          <w:rFonts w:ascii="Calibri" w:eastAsia="Calibri" w:hAnsi="Calibri" w:cs="Times New Roman"/>
          <w:b/>
          <w:color w:val="1F497D" w:themeColor="text2"/>
          <w:sz w:val="28"/>
          <w:szCs w:val="28"/>
          <w:lang w:val="es-AR" w:eastAsia="en-US"/>
        </w:rPr>
        <w:t xml:space="preserve">ipo de </w:t>
      </w:r>
      <w:r w:rsidR="00C6104A" w:rsidRPr="009423EA">
        <w:rPr>
          <w:rFonts w:ascii="Calibri" w:eastAsia="Calibri" w:hAnsi="Calibri" w:cs="Times New Roman"/>
          <w:b/>
          <w:color w:val="1F497D" w:themeColor="text2"/>
          <w:sz w:val="28"/>
          <w:szCs w:val="28"/>
          <w:lang w:val="es-AR" w:eastAsia="en-US"/>
        </w:rPr>
        <w:t>Cambio R</w:t>
      </w:r>
      <w:r w:rsidR="009C2B15" w:rsidRPr="009423EA">
        <w:rPr>
          <w:rFonts w:ascii="Calibri" w:eastAsia="Calibri" w:hAnsi="Calibri" w:cs="Times New Roman"/>
          <w:b/>
          <w:color w:val="1F497D" w:themeColor="text2"/>
          <w:sz w:val="28"/>
          <w:szCs w:val="28"/>
          <w:lang w:val="es-AR" w:eastAsia="en-US"/>
        </w:rPr>
        <w:t xml:space="preserve">eal </w:t>
      </w:r>
      <w:r w:rsidR="00C6104A" w:rsidRPr="009423EA">
        <w:rPr>
          <w:rFonts w:ascii="Calibri" w:eastAsia="Calibri" w:hAnsi="Calibri" w:cs="Times New Roman"/>
          <w:b/>
          <w:color w:val="1F497D" w:themeColor="text2"/>
          <w:sz w:val="28"/>
          <w:szCs w:val="28"/>
          <w:lang w:val="es-AR" w:eastAsia="en-US"/>
        </w:rPr>
        <w:t>M</w:t>
      </w:r>
      <w:r w:rsidR="009C2B15" w:rsidRPr="009423EA">
        <w:rPr>
          <w:rFonts w:ascii="Calibri" w:eastAsia="Calibri" w:hAnsi="Calibri" w:cs="Times New Roman"/>
          <w:b/>
          <w:color w:val="1F497D" w:themeColor="text2"/>
          <w:sz w:val="28"/>
          <w:szCs w:val="28"/>
          <w:lang w:val="es-AR" w:eastAsia="en-US"/>
        </w:rPr>
        <w:t>ultilateral (ITCRM):</w:t>
      </w:r>
    </w:p>
    <w:p w14:paraId="23146E71" w14:textId="62CC53A0"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Para seguir en detalle desde 2010 y allende los mares. Al final del año 2020</w:t>
      </w:r>
      <w:r w:rsidR="007D1138"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el ITCRM se mantiene relativamente elevado y otro tanto en el 2021. Pero en los últimos meses viene disminuyendo. El 2022 no cambia lo anterior con el registro que febrero aumenta</w:t>
      </w:r>
      <w:r w:rsidR="007D1138" w:rsidRPr="009423EA">
        <w:rPr>
          <w:rFonts w:ascii="Calibri" w:eastAsia="Calibri" w:hAnsi="Calibri" w:cs="Times New Roman"/>
          <w:color w:val="000000" w:themeColor="text1"/>
          <w:sz w:val="22"/>
          <w:szCs w:val="22"/>
          <w:lang w:val="es-AR" w:eastAsia="en-US"/>
        </w:rPr>
        <w:t xml:space="preserve"> sobre el mes anterior. N</w:t>
      </w:r>
      <w:r w:rsidRPr="009423EA">
        <w:rPr>
          <w:rFonts w:ascii="Calibri" w:eastAsia="Calibri" w:hAnsi="Calibri" w:cs="Times New Roman"/>
          <w:color w:val="000000" w:themeColor="text1"/>
          <w:sz w:val="22"/>
          <w:szCs w:val="22"/>
          <w:lang w:val="es-AR" w:eastAsia="en-US"/>
        </w:rPr>
        <w:t xml:space="preserve">o se </w:t>
      </w:r>
      <w:r w:rsidR="00BA3611" w:rsidRPr="009423EA">
        <w:rPr>
          <w:rFonts w:ascii="Calibri" w:eastAsia="Calibri" w:hAnsi="Calibri" w:cs="Times New Roman"/>
          <w:color w:val="000000" w:themeColor="text1"/>
          <w:sz w:val="22"/>
          <w:szCs w:val="22"/>
          <w:lang w:val="es-AR" w:eastAsia="en-US"/>
        </w:rPr>
        <w:t>venía</w:t>
      </w:r>
      <w:r w:rsidRPr="009423EA">
        <w:rPr>
          <w:rFonts w:ascii="Calibri" w:eastAsia="Calibri" w:hAnsi="Calibri" w:cs="Times New Roman"/>
          <w:color w:val="000000" w:themeColor="text1"/>
          <w:sz w:val="22"/>
          <w:szCs w:val="22"/>
          <w:lang w:val="es-AR" w:eastAsia="en-US"/>
        </w:rPr>
        <w:t xml:space="preserve"> observando durante la mayor parte del 2021.</w:t>
      </w:r>
    </w:p>
    <w:p w14:paraId="61DDA8DC" w14:textId="2735F76D"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En largos períodos el indicador se ha mantenido con valores bajos. El valor actual se encuentra por </w:t>
      </w:r>
      <w:r w:rsidR="007D1138" w:rsidRPr="009423EA">
        <w:rPr>
          <w:rFonts w:ascii="Calibri" w:eastAsia="Calibri" w:hAnsi="Calibri" w:cs="Times New Roman"/>
          <w:color w:val="000000" w:themeColor="text1"/>
          <w:sz w:val="22"/>
          <w:szCs w:val="22"/>
          <w:lang w:val="es-AR" w:eastAsia="en-US"/>
        </w:rPr>
        <w:t>debajo del primer cepo del 2011, p</w:t>
      </w:r>
      <w:r w:rsidRPr="009423EA">
        <w:rPr>
          <w:rFonts w:ascii="Calibri" w:eastAsia="Calibri" w:hAnsi="Calibri" w:cs="Times New Roman"/>
          <w:color w:val="000000" w:themeColor="text1"/>
          <w:sz w:val="22"/>
          <w:szCs w:val="22"/>
          <w:lang w:val="es-AR" w:eastAsia="en-US"/>
        </w:rPr>
        <w:t xml:space="preserve">ero </w:t>
      </w:r>
      <w:r w:rsidR="007D1138" w:rsidRPr="009423EA">
        <w:rPr>
          <w:rFonts w:ascii="Calibri" w:eastAsia="Calibri" w:hAnsi="Calibri" w:cs="Times New Roman"/>
          <w:color w:val="000000" w:themeColor="text1"/>
          <w:sz w:val="22"/>
          <w:szCs w:val="22"/>
          <w:lang w:val="es-AR" w:eastAsia="en-US"/>
        </w:rPr>
        <w:t>llaman la atención</w:t>
      </w:r>
      <w:r w:rsidRPr="009423EA">
        <w:rPr>
          <w:rFonts w:ascii="Calibri" w:eastAsia="Calibri" w:hAnsi="Calibri" w:cs="Times New Roman"/>
          <w:color w:val="000000" w:themeColor="text1"/>
          <w:sz w:val="22"/>
          <w:szCs w:val="22"/>
          <w:lang w:val="es-AR" w:eastAsia="en-US"/>
        </w:rPr>
        <w:t xml:space="preserve"> las devaluaciones atemperadas del tipo de cambio </w:t>
      </w:r>
      <w:r w:rsidR="007D1138" w:rsidRPr="009423EA">
        <w:rPr>
          <w:rFonts w:ascii="Calibri" w:eastAsia="Calibri" w:hAnsi="Calibri" w:cs="Times New Roman"/>
          <w:color w:val="000000" w:themeColor="text1"/>
          <w:sz w:val="22"/>
          <w:szCs w:val="22"/>
          <w:lang w:val="es-AR" w:eastAsia="en-US"/>
        </w:rPr>
        <w:t xml:space="preserve">en </w:t>
      </w:r>
      <w:r w:rsidRPr="009423EA">
        <w:rPr>
          <w:rFonts w:ascii="Calibri" w:eastAsia="Calibri" w:hAnsi="Calibri" w:cs="Times New Roman"/>
          <w:color w:val="000000" w:themeColor="text1"/>
          <w:sz w:val="22"/>
          <w:szCs w:val="22"/>
          <w:lang w:val="es-AR" w:eastAsia="en-US"/>
        </w:rPr>
        <w:t>los meses del 2021</w:t>
      </w:r>
      <w:r w:rsidR="007D1138" w:rsidRPr="009423EA">
        <w:rPr>
          <w:rFonts w:ascii="Calibri" w:eastAsia="Calibri" w:hAnsi="Calibri" w:cs="Times New Roman"/>
          <w:color w:val="000000" w:themeColor="text1"/>
          <w:sz w:val="22"/>
          <w:szCs w:val="22"/>
          <w:lang w:val="es-AR" w:eastAsia="en-US"/>
        </w:rPr>
        <w:t>. Lo que ocurrirá durante el 2022 está</w:t>
      </w:r>
      <w:r w:rsidRPr="009423EA">
        <w:rPr>
          <w:rFonts w:ascii="Calibri" w:eastAsia="Calibri" w:hAnsi="Calibri" w:cs="Times New Roman"/>
          <w:color w:val="000000" w:themeColor="text1"/>
          <w:sz w:val="22"/>
          <w:szCs w:val="22"/>
          <w:lang w:val="es-AR" w:eastAsia="en-US"/>
        </w:rPr>
        <w:t xml:space="preserve"> por verse</w:t>
      </w:r>
      <w:r w:rsidR="007D1138"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pero hasta el momento siempre fue disminuyendo, salvo </w:t>
      </w:r>
      <w:r w:rsidR="007D1138" w:rsidRPr="009423EA">
        <w:rPr>
          <w:rFonts w:ascii="Calibri" w:eastAsia="Calibri" w:hAnsi="Calibri" w:cs="Times New Roman"/>
          <w:color w:val="000000" w:themeColor="text1"/>
          <w:sz w:val="22"/>
          <w:szCs w:val="22"/>
          <w:lang w:val="es-AR" w:eastAsia="en-US"/>
        </w:rPr>
        <w:t>el</w:t>
      </w:r>
      <w:r w:rsidRPr="009423EA">
        <w:rPr>
          <w:rFonts w:ascii="Calibri" w:eastAsia="Calibri" w:hAnsi="Calibri" w:cs="Times New Roman"/>
          <w:color w:val="000000" w:themeColor="text1"/>
          <w:sz w:val="22"/>
          <w:szCs w:val="22"/>
          <w:lang w:val="es-AR" w:eastAsia="en-US"/>
        </w:rPr>
        <w:t xml:space="preserve"> leve aumento</w:t>
      </w:r>
      <w:r w:rsidR="007D1138" w:rsidRPr="009423EA">
        <w:rPr>
          <w:rFonts w:ascii="Calibri" w:eastAsia="Calibri" w:hAnsi="Calibri" w:cs="Times New Roman"/>
          <w:color w:val="000000" w:themeColor="text1"/>
          <w:sz w:val="22"/>
          <w:szCs w:val="22"/>
          <w:lang w:val="es-AR" w:eastAsia="en-US"/>
        </w:rPr>
        <w:t xml:space="preserve"> de febrero</w:t>
      </w:r>
      <w:r w:rsidRPr="009423EA">
        <w:rPr>
          <w:rFonts w:ascii="Calibri" w:eastAsia="Calibri" w:hAnsi="Calibri" w:cs="Times New Roman"/>
          <w:color w:val="000000" w:themeColor="text1"/>
          <w:sz w:val="22"/>
          <w:szCs w:val="22"/>
          <w:lang w:val="es-AR" w:eastAsia="en-US"/>
        </w:rPr>
        <w:t>.</w:t>
      </w:r>
    </w:p>
    <w:p w14:paraId="1915540D" w14:textId="3B549F11" w:rsidR="00194852" w:rsidRPr="009423EA" w:rsidRDefault="006E11D1" w:rsidP="009C2B15">
      <w:pPr>
        <w:spacing w:after="160" w:line="259" w:lineRule="auto"/>
        <w:jc w:val="both"/>
        <w:rPr>
          <w:rFonts w:ascii="Calibri" w:eastAsia="Calibri" w:hAnsi="Calibri" w:cs="Times New Roman"/>
          <w:color w:val="000000" w:themeColor="text1"/>
          <w:sz w:val="22"/>
          <w:szCs w:val="22"/>
          <w:lang w:val="es-AR" w:eastAsia="en-US"/>
        </w:rPr>
      </w:pPr>
      <w:r>
        <w:rPr>
          <w:rFonts w:ascii="Calibri" w:eastAsia="Calibri" w:hAnsi="Calibri" w:cs="Times New Roman"/>
          <w:noProof/>
          <w:color w:val="000000" w:themeColor="text1"/>
          <w:sz w:val="22"/>
          <w:szCs w:val="22"/>
          <w:lang w:val="es-AR" w:eastAsia="es-AR"/>
        </w:rPr>
        <w:drawing>
          <wp:inline distT="0" distB="0" distL="0" distR="0" wp14:anchorId="76B2B437" wp14:editId="68EE492C">
            <wp:extent cx="4459022" cy="324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9022" cy="3240000"/>
                    </a:xfrm>
                    <a:prstGeom prst="rect">
                      <a:avLst/>
                    </a:prstGeom>
                    <a:noFill/>
                  </pic:spPr>
                </pic:pic>
              </a:graphicData>
            </a:graphic>
          </wp:inline>
        </w:drawing>
      </w:r>
    </w:p>
    <w:p w14:paraId="41041FF6" w14:textId="55EFA6B8" w:rsidR="0086039A" w:rsidRPr="009423EA" w:rsidRDefault="009F72D3" w:rsidP="00E91E95">
      <w:pPr>
        <w:spacing w:after="160" w:line="259" w:lineRule="auto"/>
        <w:jc w:val="both"/>
        <w:rPr>
          <w:rFonts w:ascii="Calibri" w:eastAsia="Calibri" w:hAnsi="Calibri" w:cs="Times New Roman"/>
          <w:b/>
          <w:color w:val="1F497D" w:themeColor="text2"/>
          <w:sz w:val="28"/>
          <w:szCs w:val="28"/>
          <w:lang w:val="es-AR" w:eastAsia="en-US"/>
        </w:rPr>
      </w:pPr>
      <w:r w:rsidRPr="009423EA">
        <w:rPr>
          <w:rFonts w:ascii="Calibri" w:eastAsia="Calibri" w:hAnsi="Calibri" w:cs="Times New Roman"/>
          <w:b/>
          <w:color w:val="1F497D" w:themeColor="text2"/>
          <w:sz w:val="28"/>
          <w:szCs w:val="28"/>
          <w:lang w:val="es-AR" w:eastAsia="en-US"/>
        </w:rPr>
        <w:lastRenderedPageBreak/>
        <w:t>Los picos de inflación mensual:</w:t>
      </w:r>
    </w:p>
    <w:p w14:paraId="379E39FC" w14:textId="346D8526"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Con estos porcentajes mensuales es difícil aventurar resultados de inflación futura</w:t>
      </w:r>
      <w:r w:rsidR="007D1138" w:rsidRPr="009423EA">
        <w:rPr>
          <w:rFonts w:ascii="Calibri" w:eastAsia="Calibri" w:hAnsi="Calibri" w:cs="Times New Roman"/>
          <w:color w:val="000000" w:themeColor="text1"/>
          <w:sz w:val="22"/>
          <w:szCs w:val="22"/>
          <w:lang w:val="es-AR" w:eastAsia="en-US"/>
        </w:rPr>
        <w:t>. S</w:t>
      </w:r>
      <w:r w:rsidRPr="009423EA">
        <w:rPr>
          <w:rFonts w:ascii="Calibri" w:eastAsia="Calibri" w:hAnsi="Calibri" w:cs="Times New Roman"/>
          <w:color w:val="000000" w:themeColor="text1"/>
          <w:sz w:val="22"/>
          <w:szCs w:val="22"/>
          <w:lang w:val="es-AR" w:eastAsia="en-US"/>
        </w:rPr>
        <w:t xml:space="preserve">iempre cambian las condiciones, las regulaciones, las no regulaciones, el mundo, las elecciones, las relaciones norte-sur, los relanzamientos, cuestiones fiscales, monetarias, </w:t>
      </w:r>
      <w:r w:rsidR="00BA3611" w:rsidRPr="009423EA">
        <w:rPr>
          <w:rFonts w:ascii="Calibri" w:eastAsia="Calibri" w:hAnsi="Calibri" w:cs="Times New Roman"/>
          <w:color w:val="000000" w:themeColor="text1"/>
          <w:sz w:val="22"/>
          <w:szCs w:val="22"/>
          <w:lang w:val="es-AR" w:eastAsia="en-US"/>
        </w:rPr>
        <w:t>los alienígeno</w:t>
      </w:r>
      <w:r w:rsidR="007D1138" w:rsidRPr="009423EA">
        <w:rPr>
          <w:rFonts w:ascii="Calibri" w:eastAsia="Calibri" w:hAnsi="Calibri" w:cs="Times New Roman"/>
          <w:color w:val="000000" w:themeColor="text1"/>
          <w:sz w:val="22"/>
          <w:szCs w:val="22"/>
          <w:lang w:val="es-AR" w:eastAsia="en-US"/>
        </w:rPr>
        <w:t>s</w:t>
      </w:r>
      <w:r w:rsidR="00BA3611" w:rsidRPr="009423EA">
        <w:rPr>
          <w:rFonts w:ascii="Calibri" w:eastAsia="Calibri" w:hAnsi="Calibri" w:cs="Times New Roman"/>
          <w:color w:val="000000" w:themeColor="text1"/>
          <w:sz w:val="22"/>
          <w:szCs w:val="22"/>
          <w:lang w:val="es-AR" w:eastAsia="en-US"/>
        </w:rPr>
        <w:t>, las g</w:t>
      </w:r>
      <w:r w:rsidRPr="009423EA">
        <w:rPr>
          <w:rFonts w:ascii="Calibri" w:eastAsia="Calibri" w:hAnsi="Calibri" w:cs="Times New Roman"/>
          <w:color w:val="000000" w:themeColor="text1"/>
          <w:sz w:val="22"/>
          <w:szCs w:val="22"/>
          <w:lang w:val="es-AR" w:eastAsia="en-US"/>
        </w:rPr>
        <w:t xml:space="preserve">uerras y otros. Le resulta complicado a la FED con una tasa anual del 7 %. </w:t>
      </w:r>
      <w:r w:rsidR="00BA3611" w:rsidRPr="009423EA">
        <w:rPr>
          <w:rFonts w:ascii="Calibri" w:eastAsia="Calibri" w:hAnsi="Calibri" w:cs="Times New Roman"/>
          <w:color w:val="000000" w:themeColor="text1"/>
          <w:sz w:val="22"/>
          <w:szCs w:val="22"/>
          <w:lang w:val="es-AR" w:eastAsia="en-US"/>
        </w:rPr>
        <w:t>Lo</w:t>
      </w:r>
      <w:r w:rsidRPr="009423EA">
        <w:rPr>
          <w:rFonts w:ascii="Calibri" w:eastAsia="Calibri" w:hAnsi="Calibri" w:cs="Times New Roman"/>
          <w:color w:val="000000" w:themeColor="text1"/>
          <w:sz w:val="22"/>
          <w:szCs w:val="22"/>
          <w:lang w:val="es-AR" w:eastAsia="en-US"/>
        </w:rPr>
        <w:t xml:space="preserve"> que es decir mucho.</w:t>
      </w:r>
    </w:p>
    <w:p w14:paraId="4C2354B5" w14:textId="77777777"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Para ayudar a la confusión y observar qué números y desde cuándo se consideran, resaltamos cuatro líneas con los promedios mensuales para diferentes períodos hasta febrero de 2022.</w:t>
      </w:r>
    </w:p>
    <w:p w14:paraId="02758DA2" w14:textId="4741E2EF"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a) En el largo período desde 2004 a hoy, la inflación promedio mensual fue exactamente de</w:t>
      </w:r>
      <w:r w:rsidR="007D1138" w:rsidRPr="009423EA">
        <w:rPr>
          <w:rFonts w:ascii="Calibri" w:eastAsia="Calibri" w:hAnsi="Calibri" w:cs="Times New Roman"/>
          <w:color w:val="000000" w:themeColor="text1"/>
          <w:sz w:val="22"/>
          <w:szCs w:val="22"/>
          <w:lang w:val="es-AR" w:eastAsia="en-US"/>
        </w:rPr>
        <w:t>l</w:t>
      </w:r>
      <w:r w:rsidRPr="009423EA">
        <w:rPr>
          <w:rFonts w:ascii="Calibri" w:eastAsia="Calibri" w:hAnsi="Calibri" w:cs="Times New Roman"/>
          <w:color w:val="000000" w:themeColor="text1"/>
          <w:sz w:val="22"/>
          <w:szCs w:val="22"/>
          <w:lang w:val="es-AR" w:eastAsia="en-US"/>
        </w:rPr>
        <w:t xml:space="preserve"> 1,94 %</w:t>
      </w:r>
      <w:r w:rsidR="007D1138" w:rsidRPr="009423EA">
        <w:rPr>
          <w:rFonts w:ascii="Calibri" w:eastAsia="Calibri" w:hAnsi="Calibri" w:cs="Times New Roman"/>
          <w:color w:val="000000" w:themeColor="text1"/>
          <w:sz w:val="22"/>
          <w:szCs w:val="22"/>
          <w:lang w:val="es-AR" w:eastAsia="en-US"/>
        </w:rPr>
        <w:t xml:space="preserve"> y la anual del </w:t>
      </w:r>
      <w:r w:rsidRPr="009423EA">
        <w:rPr>
          <w:rFonts w:ascii="Calibri" w:eastAsia="Calibri" w:hAnsi="Calibri" w:cs="Times New Roman"/>
          <w:color w:val="000000" w:themeColor="text1"/>
          <w:sz w:val="22"/>
          <w:szCs w:val="22"/>
          <w:lang w:val="es-AR" w:eastAsia="en-US"/>
        </w:rPr>
        <w:t>26 %.</w:t>
      </w:r>
    </w:p>
    <w:p w14:paraId="72C72636" w14:textId="5EB1E0DC"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 xml:space="preserve">b) Para el lapso desde el 2009 a hoy,  </w:t>
      </w:r>
      <w:r w:rsidR="007D1138" w:rsidRPr="009423EA">
        <w:rPr>
          <w:rFonts w:ascii="Calibri" w:eastAsia="Calibri" w:hAnsi="Calibri" w:cs="Times New Roman"/>
          <w:color w:val="000000" w:themeColor="text1"/>
          <w:sz w:val="22"/>
          <w:szCs w:val="22"/>
          <w:lang w:val="es-AR" w:eastAsia="en-US"/>
        </w:rPr>
        <w:t>la</w:t>
      </w:r>
      <w:r w:rsidRPr="009423EA">
        <w:rPr>
          <w:rFonts w:ascii="Calibri" w:eastAsia="Calibri" w:hAnsi="Calibri" w:cs="Times New Roman"/>
          <w:color w:val="000000" w:themeColor="text1"/>
          <w:sz w:val="22"/>
          <w:szCs w:val="22"/>
          <w:lang w:val="es-AR" w:eastAsia="en-US"/>
        </w:rPr>
        <w:t xml:space="preserve"> mensual fue del 2,32 %</w:t>
      </w:r>
      <w:r w:rsidR="007D1138" w:rsidRPr="009423EA">
        <w:rPr>
          <w:rFonts w:ascii="Calibri" w:eastAsia="Calibri" w:hAnsi="Calibri" w:cs="Times New Roman"/>
          <w:color w:val="000000" w:themeColor="text1"/>
          <w:sz w:val="22"/>
          <w:szCs w:val="22"/>
          <w:lang w:val="es-AR" w:eastAsia="en-US"/>
        </w:rPr>
        <w:t xml:space="preserve"> y la anual del</w:t>
      </w:r>
      <w:r w:rsidRPr="009423EA">
        <w:rPr>
          <w:rFonts w:ascii="Calibri" w:eastAsia="Calibri" w:hAnsi="Calibri" w:cs="Times New Roman"/>
          <w:color w:val="000000" w:themeColor="text1"/>
          <w:sz w:val="22"/>
          <w:szCs w:val="22"/>
          <w:lang w:val="es-AR" w:eastAsia="en-US"/>
        </w:rPr>
        <w:t xml:space="preserve"> 32 %.</w:t>
      </w:r>
    </w:p>
    <w:p w14:paraId="5D11E5D2" w14:textId="1F674890"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c) Desde el 2014 a hoy el pro</w:t>
      </w:r>
      <w:r w:rsidR="007D1138" w:rsidRPr="009423EA">
        <w:rPr>
          <w:rFonts w:ascii="Calibri" w:eastAsia="Calibri" w:hAnsi="Calibri" w:cs="Times New Roman"/>
          <w:color w:val="000000" w:themeColor="text1"/>
          <w:sz w:val="22"/>
          <w:szCs w:val="22"/>
          <w:lang w:val="es-AR" w:eastAsia="en-US"/>
        </w:rPr>
        <w:t>medio mensual alcanza el 2,28 % y</w:t>
      </w:r>
      <w:r w:rsidRPr="009423EA">
        <w:rPr>
          <w:rFonts w:ascii="Calibri" w:eastAsia="Calibri" w:hAnsi="Calibri" w:cs="Times New Roman"/>
          <w:color w:val="000000" w:themeColor="text1"/>
          <w:sz w:val="22"/>
          <w:szCs w:val="22"/>
          <w:lang w:val="es-AR" w:eastAsia="en-US"/>
        </w:rPr>
        <w:t xml:space="preserve"> </w:t>
      </w:r>
      <w:r w:rsidR="007D1138" w:rsidRPr="009423EA">
        <w:rPr>
          <w:rFonts w:ascii="Calibri" w:eastAsia="Calibri" w:hAnsi="Calibri" w:cs="Times New Roman"/>
          <w:color w:val="000000" w:themeColor="text1"/>
          <w:sz w:val="22"/>
          <w:szCs w:val="22"/>
          <w:lang w:val="es-AR" w:eastAsia="en-US"/>
        </w:rPr>
        <w:t xml:space="preserve">el anual el </w:t>
      </w:r>
      <w:r w:rsidRPr="009423EA">
        <w:rPr>
          <w:rFonts w:ascii="Calibri" w:eastAsia="Calibri" w:hAnsi="Calibri" w:cs="Times New Roman"/>
          <w:color w:val="000000" w:themeColor="text1"/>
          <w:sz w:val="22"/>
          <w:szCs w:val="22"/>
          <w:lang w:val="es-AR" w:eastAsia="en-US"/>
        </w:rPr>
        <w:t>40 %</w:t>
      </w:r>
      <w:r w:rsidR="007D1138" w:rsidRPr="009423EA">
        <w:rPr>
          <w:rFonts w:ascii="Calibri" w:eastAsia="Calibri" w:hAnsi="Calibri" w:cs="Times New Roman"/>
          <w:color w:val="000000" w:themeColor="text1"/>
          <w:sz w:val="22"/>
          <w:szCs w:val="22"/>
          <w:lang w:val="es-AR" w:eastAsia="en-US"/>
        </w:rPr>
        <w:t>.</w:t>
      </w:r>
      <w:r w:rsidRPr="009423EA">
        <w:rPr>
          <w:rFonts w:ascii="Calibri" w:eastAsia="Calibri" w:hAnsi="Calibri" w:cs="Times New Roman"/>
          <w:color w:val="000000" w:themeColor="text1"/>
          <w:sz w:val="22"/>
          <w:szCs w:val="22"/>
          <w:lang w:val="es-AR" w:eastAsia="en-US"/>
        </w:rPr>
        <w:t xml:space="preserve"> </w:t>
      </w:r>
    </w:p>
    <w:p w14:paraId="12AA91F8" w14:textId="7FB05217"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d) Desde el 2018 a hoy el promedio mensual alcanza el 3.37 %</w:t>
      </w:r>
      <w:r w:rsidR="006207BF" w:rsidRPr="009423EA">
        <w:rPr>
          <w:rFonts w:ascii="Calibri" w:eastAsia="Calibri" w:hAnsi="Calibri" w:cs="Times New Roman"/>
          <w:color w:val="000000" w:themeColor="text1"/>
          <w:sz w:val="22"/>
          <w:szCs w:val="22"/>
          <w:lang w:val="es-AR" w:eastAsia="en-US"/>
        </w:rPr>
        <w:t xml:space="preserve"> y el anual el 49 %</w:t>
      </w:r>
      <w:r w:rsidRPr="009423EA">
        <w:rPr>
          <w:rFonts w:ascii="Calibri" w:eastAsia="Calibri" w:hAnsi="Calibri" w:cs="Times New Roman"/>
          <w:color w:val="000000" w:themeColor="text1"/>
          <w:sz w:val="22"/>
          <w:szCs w:val="22"/>
          <w:lang w:val="es-AR" w:eastAsia="en-US"/>
        </w:rPr>
        <w:t>.</w:t>
      </w:r>
    </w:p>
    <w:p w14:paraId="34AE810E" w14:textId="77777777"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Los mayores aumentos se produjeron a partir del 2013, con picos a partir de esos momentos.</w:t>
      </w:r>
    </w:p>
    <w:p w14:paraId="255236B4" w14:textId="71017B51" w:rsidR="008F4970" w:rsidRPr="009423EA" w:rsidRDefault="008F4970" w:rsidP="008F4970">
      <w:pPr>
        <w:spacing w:after="160" w:line="259" w:lineRule="auto"/>
        <w:jc w:val="both"/>
        <w:rPr>
          <w:rFonts w:ascii="Calibri" w:eastAsia="Calibri" w:hAnsi="Calibri" w:cs="Times New Roman"/>
          <w:color w:val="000000" w:themeColor="text1"/>
          <w:sz w:val="22"/>
          <w:szCs w:val="22"/>
          <w:lang w:val="es-AR" w:eastAsia="en-US"/>
        </w:rPr>
      </w:pPr>
      <w:r w:rsidRPr="009423EA">
        <w:rPr>
          <w:rFonts w:ascii="Calibri" w:eastAsia="Calibri" w:hAnsi="Calibri" w:cs="Times New Roman"/>
          <w:color w:val="000000" w:themeColor="text1"/>
          <w:sz w:val="22"/>
          <w:szCs w:val="22"/>
          <w:lang w:val="es-AR" w:eastAsia="en-US"/>
        </w:rPr>
        <w:t>Siendo que el promedio mensual es de 1,94 % en el mayor plazo, se podría conjeturar que la inercial anual, por ponerle un nombre, es del 24/25 % anual. Una trinchera de la inflación difícil de superar. Pero debiera ser el objetivo "humilde" para los próximos años. En el 2021 el objetivo del ministro Guzmán fue del 29 % y</w:t>
      </w:r>
      <w:r w:rsidR="006207BF" w:rsidRPr="009423EA">
        <w:rPr>
          <w:rFonts w:ascii="Calibri" w:eastAsia="Calibri" w:hAnsi="Calibri" w:cs="Times New Roman"/>
          <w:color w:val="000000" w:themeColor="text1"/>
          <w:sz w:val="22"/>
          <w:szCs w:val="22"/>
          <w:lang w:val="es-AR" w:eastAsia="en-US"/>
        </w:rPr>
        <w:t xml:space="preserve"> resultó </w:t>
      </w:r>
      <w:r w:rsidRPr="009423EA">
        <w:rPr>
          <w:rFonts w:ascii="Calibri" w:eastAsia="Calibri" w:hAnsi="Calibri" w:cs="Times New Roman"/>
          <w:color w:val="000000" w:themeColor="text1"/>
          <w:sz w:val="22"/>
          <w:szCs w:val="22"/>
          <w:lang w:val="es-AR" w:eastAsia="en-US"/>
        </w:rPr>
        <w:t>superado con amplitud. En el 2022 la promesa abierta es del 33 %. Cualquiera de estos promedios mensuales equivale al aumento anual de la mayoría de los países, ahora</w:t>
      </w:r>
      <w:r w:rsidR="006207BF" w:rsidRPr="009423EA">
        <w:rPr>
          <w:rFonts w:ascii="Calibri" w:eastAsia="Calibri" w:hAnsi="Calibri" w:cs="Times New Roman"/>
          <w:color w:val="000000" w:themeColor="text1"/>
          <w:sz w:val="22"/>
          <w:szCs w:val="22"/>
          <w:lang w:val="es-AR" w:eastAsia="en-US"/>
        </w:rPr>
        <w:t xml:space="preserve"> con</w:t>
      </w:r>
      <w:r w:rsidRPr="009423EA">
        <w:rPr>
          <w:rFonts w:ascii="Calibri" w:eastAsia="Calibri" w:hAnsi="Calibri" w:cs="Times New Roman"/>
          <w:color w:val="000000" w:themeColor="text1"/>
          <w:sz w:val="22"/>
          <w:szCs w:val="22"/>
          <w:lang w:val="es-AR" w:eastAsia="en-US"/>
        </w:rPr>
        <w:t xml:space="preserve"> un poco más de inflación. Así es como andamos.</w:t>
      </w:r>
      <w:r w:rsidR="00D1352A" w:rsidRPr="009423EA">
        <w:rPr>
          <w:rFonts w:ascii="Calibri" w:eastAsia="Calibri" w:hAnsi="Calibri" w:cs="Times New Roman"/>
          <w:color w:val="000000" w:themeColor="text1"/>
          <w:sz w:val="22"/>
          <w:szCs w:val="22"/>
          <w:lang w:val="es-AR" w:eastAsia="en-US"/>
        </w:rPr>
        <w:t xml:space="preserve"> </w:t>
      </w:r>
      <w:r w:rsidRPr="009423EA">
        <w:rPr>
          <w:rFonts w:ascii="Calibri" w:eastAsia="Calibri" w:hAnsi="Calibri" w:cs="Times New Roman"/>
          <w:color w:val="000000" w:themeColor="text1"/>
          <w:sz w:val="22"/>
          <w:szCs w:val="22"/>
          <w:lang w:val="es-AR" w:eastAsia="en-US"/>
        </w:rPr>
        <w:t>Lo elevado al Fondo da por tierra con la estimación oficial inicial del 33 %.</w:t>
      </w:r>
      <w:r w:rsidR="00D1352A" w:rsidRPr="009423EA">
        <w:rPr>
          <w:rFonts w:ascii="Calibri" w:eastAsia="Calibri" w:hAnsi="Calibri" w:cs="Times New Roman"/>
          <w:color w:val="000000" w:themeColor="text1"/>
          <w:sz w:val="22"/>
          <w:szCs w:val="22"/>
          <w:lang w:val="es-AR" w:eastAsia="en-US"/>
        </w:rPr>
        <w:t xml:space="preserve"> </w:t>
      </w:r>
      <w:r w:rsidRPr="009423EA">
        <w:rPr>
          <w:rFonts w:ascii="Calibri" w:eastAsia="Calibri" w:hAnsi="Calibri" w:cs="Times New Roman"/>
          <w:color w:val="000000" w:themeColor="text1"/>
          <w:sz w:val="22"/>
          <w:szCs w:val="22"/>
          <w:lang w:val="es-AR" w:eastAsia="en-US"/>
        </w:rPr>
        <w:t>Luego la invasión a Ucrania.</w:t>
      </w:r>
    </w:p>
    <w:p w14:paraId="3AC7E043" w14:textId="64DE84FD" w:rsidR="0082093A" w:rsidRPr="009423EA" w:rsidRDefault="006E11D1" w:rsidP="00E91E95">
      <w:pPr>
        <w:spacing w:after="160" w:line="259" w:lineRule="auto"/>
        <w:jc w:val="both"/>
        <w:rPr>
          <w:rFonts w:ascii="Calibri" w:eastAsia="Calibri" w:hAnsi="Calibri" w:cs="Times New Roman"/>
          <w:color w:val="000000" w:themeColor="text1"/>
          <w:sz w:val="22"/>
          <w:szCs w:val="22"/>
          <w:lang w:val="es-AR" w:eastAsia="en-US"/>
        </w:rPr>
      </w:pPr>
      <w:r>
        <w:rPr>
          <w:rFonts w:ascii="Calibri" w:eastAsia="Calibri" w:hAnsi="Calibri" w:cs="Times New Roman"/>
          <w:noProof/>
          <w:color w:val="000000" w:themeColor="text1"/>
          <w:sz w:val="22"/>
          <w:szCs w:val="22"/>
          <w:lang w:val="es-AR" w:eastAsia="es-AR"/>
        </w:rPr>
        <w:drawing>
          <wp:inline distT="0" distB="0" distL="0" distR="0" wp14:anchorId="48E78FA3" wp14:editId="7C99C061">
            <wp:extent cx="4459823" cy="324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9823" cy="3240000"/>
                    </a:xfrm>
                    <a:prstGeom prst="rect">
                      <a:avLst/>
                    </a:prstGeom>
                    <a:noFill/>
                  </pic:spPr>
                </pic:pic>
              </a:graphicData>
            </a:graphic>
          </wp:inline>
        </w:drawing>
      </w:r>
    </w:p>
    <w:p w14:paraId="3713BD6E" w14:textId="77777777" w:rsidR="000001D7" w:rsidRPr="009423EA" w:rsidRDefault="000001D7" w:rsidP="00FA4790">
      <w:pPr>
        <w:jc w:val="right"/>
        <w:rPr>
          <w:rFonts w:ascii="Calibri" w:eastAsia="Calibri" w:hAnsi="Calibri" w:cs="Times New Roman"/>
          <w:b/>
          <w:sz w:val="22"/>
          <w:szCs w:val="22"/>
          <w:lang w:val="es-ES" w:eastAsia="en-US"/>
        </w:rPr>
      </w:pPr>
    </w:p>
    <w:p w14:paraId="1585A626" w14:textId="10E03278" w:rsidR="00955946" w:rsidRPr="009423EA" w:rsidRDefault="0086039A" w:rsidP="00FA4790">
      <w:pPr>
        <w:jc w:val="right"/>
        <w:rPr>
          <w:rFonts w:ascii="Calibri" w:eastAsia="Calibri" w:hAnsi="Calibri" w:cs="Times New Roman"/>
          <w:b/>
          <w:sz w:val="22"/>
          <w:szCs w:val="22"/>
          <w:lang w:val="es-ES" w:eastAsia="en-US"/>
        </w:rPr>
      </w:pPr>
      <w:r w:rsidRPr="009423EA">
        <w:rPr>
          <w:rFonts w:ascii="Calibri" w:eastAsia="Calibri" w:hAnsi="Calibri" w:cs="Times New Roman"/>
          <w:b/>
          <w:sz w:val="22"/>
          <w:szCs w:val="22"/>
          <w:lang w:val="es-ES" w:eastAsia="en-US"/>
        </w:rPr>
        <w:t>Salu</w:t>
      </w:r>
      <w:r w:rsidR="00564966" w:rsidRPr="009423EA">
        <w:rPr>
          <w:rFonts w:ascii="Calibri" w:eastAsia="Calibri" w:hAnsi="Calibri" w:cs="Times New Roman"/>
          <w:b/>
          <w:sz w:val="22"/>
          <w:szCs w:val="22"/>
          <w:lang w:val="es-ES" w:eastAsia="en-US"/>
        </w:rPr>
        <w:t>dos</w:t>
      </w:r>
      <w:r w:rsidR="00E524C5" w:rsidRPr="009423EA">
        <w:rPr>
          <w:rFonts w:ascii="Calibri" w:eastAsia="Calibri" w:hAnsi="Calibri" w:cs="Times New Roman"/>
          <w:b/>
          <w:sz w:val="22"/>
          <w:szCs w:val="22"/>
          <w:lang w:val="es-ES" w:eastAsia="en-US"/>
        </w:rPr>
        <w:t xml:space="preserve"> </w:t>
      </w:r>
    </w:p>
    <w:p w14:paraId="59DCF24F" w14:textId="77777777" w:rsidR="00F814A7" w:rsidRPr="009423EA" w:rsidRDefault="00F814A7" w:rsidP="00FA4790">
      <w:pPr>
        <w:jc w:val="right"/>
        <w:rPr>
          <w:rFonts w:ascii="Calibri" w:eastAsia="Calibri" w:hAnsi="Calibri" w:cs="Times New Roman"/>
          <w:sz w:val="22"/>
          <w:szCs w:val="22"/>
          <w:lang w:val="es-AR" w:eastAsia="en-US"/>
        </w:rPr>
      </w:pPr>
      <w:r w:rsidRPr="009423EA">
        <w:rPr>
          <w:rFonts w:ascii="Calibri" w:eastAsia="Calibri" w:hAnsi="Calibri" w:cs="Times New Roman"/>
          <w:sz w:val="22"/>
          <w:szCs w:val="22"/>
          <w:lang w:val="es-AR" w:eastAsia="en-US"/>
        </w:rPr>
        <w:t>Lic. Jorge A Moore</w:t>
      </w:r>
    </w:p>
    <w:p w14:paraId="0C48B584" w14:textId="5CAF5C1B" w:rsidR="00F814A7" w:rsidRPr="009423EA" w:rsidRDefault="00C062A2" w:rsidP="00FA4790">
      <w:pPr>
        <w:jc w:val="right"/>
        <w:rPr>
          <w:rFonts w:ascii="Calibri" w:eastAsia="Calibri" w:hAnsi="Calibri" w:cs="Times New Roman"/>
          <w:sz w:val="22"/>
          <w:szCs w:val="22"/>
          <w:lang w:val="es-AR" w:eastAsia="en-US"/>
        </w:rPr>
      </w:pPr>
      <w:r w:rsidRPr="009423EA">
        <w:rPr>
          <w:rFonts w:ascii="Calibri" w:eastAsia="Calibri" w:hAnsi="Calibri" w:cs="Times New Roman"/>
          <w:sz w:val="22"/>
          <w:szCs w:val="22"/>
          <w:lang w:val="es-AR" w:eastAsia="en-US"/>
        </w:rPr>
        <w:t>Marzo</w:t>
      </w:r>
      <w:r w:rsidR="009C2B15" w:rsidRPr="009423EA">
        <w:rPr>
          <w:rFonts w:ascii="Calibri" w:eastAsia="Calibri" w:hAnsi="Calibri" w:cs="Times New Roman"/>
          <w:sz w:val="22"/>
          <w:szCs w:val="22"/>
          <w:lang w:val="es-AR" w:eastAsia="en-US"/>
        </w:rPr>
        <w:t xml:space="preserve"> 202</w:t>
      </w:r>
      <w:r w:rsidR="00295DA7" w:rsidRPr="009423EA">
        <w:rPr>
          <w:rFonts w:ascii="Calibri" w:eastAsia="Calibri" w:hAnsi="Calibri" w:cs="Times New Roman"/>
          <w:sz w:val="22"/>
          <w:szCs w:val="22"/>
          <w:lang w:val="es-AR" w:eastAsia="en-US"/>
        </w:rPr>
        <w:t>2</w:t>
      </w:r>
    </w:p>
    <w:p w14:paraId="3DDC7D4A" w14:textId="5AED685F" w:rsidR="00F814A7" w:rsidRPr="000C0D2B" w:rsidRDefault="000C0D2B" w:rsidP="000C0D2B">
      <w:pPr>
        <w:jc w:val="right"/>
        <w:rPr>
          <w:rFonts w:ascii="Calibri" w:eastAsia="Calibri" w:hAnsi="Calibri" w:cs="Times New Roman"/>
          <w:sz w:val="22"/>
          <w:szCs w:val="22"/>
          <w:lang w:val="es-AR" w:eastAsia="en-US"/>
        </w:rPr>
      </w:pPr>
      <w:r w:rsidRPr="009423EA">
        <w:rPr>
          <w:rFonts w:ascii="Calibri" w:eastAsia="Calibri" w:hAnsi="Calibri" w:cs="Times New Roman"/>
          <w:sz w:val="22"/>
          <w:szCs w:val="22"/>
          <w:lang w:val="es-AR" w:eastAsia="en-US"/>
        </w:rPr>
        <w:t>Corrección: Manuel López de Tejada</w:t>
      </w:r>
    </w:p>
    <w:sectPr w:rsidR="00F814A7" w:rsidRPr="000C0D2B" w:rsidSect="00266516">
      <w:headerReference w:type="default" r:id="rId33"/>
      <w:footerReference w:type="even" r:id="rId34"/>
      <w:footerReference w:type="default" r:id="rId35"/>
      <w:pgSz w:w="11900" w:h="16840"/>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629D1" w14:textId="77777777" w:rsidR="00E2699C" w:rsidRDefault="00E2699C" w:rsidP="00F814A7">
      <w:r>
        <w:separator/>
      </w:r>
    </w:p>
  </w:endnote>
  <w:endnote w:type="continuationSeparator" w:id="0">
    <w:p w14:paraId="008A2B5B" w14:textId="77777777" w:rsidR="00E2699C" w:rsidRDefault="00E2699C" w:rsidP="00F8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E006" w14:textId="77777777" w:rsidR="008B08EF" w:rsidRDefault="008B08EF" w:rsidP="002665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AC4304E" w14:textId="77777777" w:rsidR="008B08EF" w:rsidRDefault="008B08EF" w:rsidP="002665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2F28" w14:textId="77777777" w:rsidR="008B08EF" w:rsidRDefault="008B08EF" w:rsidP="002665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84337">
      <w:rPr>
        <w:rStyle w:val="Nmerodepgina"/>
        <w:noProof/>
      </w:rPr>
      <w:t>20</w:t>
    </w:r>
    <w:r>
      <w:rPr>
        <w:rStyle w:val="Nmerodepgina"/>
      </w:rPr>
      <w:fldChar w:fldCharType="end"/>
    </w:r>
  </w:p>
  <w:p w14:paraId="184D2CC9" w14:textId="708C3745" w:rsidR="008B08EF" w:rsidRPr="00266516" w:rsidRDefault="008B08EF" w:rsidP="00266516">
    <w:pPr>
      <w:pStyle w:val="Piedepgina"/>
      <w:ind w:right="360"/>
      <w:jc w:val="center"/>
      <w:rPr>
        <w:rFonts w:asciiTheme="majorHAnsi" w:hAnsiTheme="majorHAnsi"/>
        <w:color w:val="1F497D" w:themeColor="text2"/>
        <w:sz w:val="18"/>
        <w:szCs w:val="18"/>
      </w:rPr>
    </w:pPr>
    <w:r w:rsidRPr="00266516">
      <w:rPr>
        <w:rFonts w:asciiTheme="majorHAnsi" w:hAnsiTheme="majorHAnsi"/>
        <w:color w:val="1F497D" w:themeColor="text2"/>
        <w:sz w:val="18"/>
        <w:szCs w:val="18"/>
      </w:rPr>
      <w:t xml:space="preserve">Lic. Jorge Moore </w:t>
    </w:r>
    <w:r w:rsidR="00F61B96">
      <w:rPr>
        <w:rFonts w:asciiTheme="majorHAnsi" w:hAnsiTheme="majorHAnsi"/>
        <w:color w:val="1F497D" w:themeColor="text2"/>
        <w:sz w:val="18"/>
        <w:szCs w:val="18"/>
      </w:rPr>
      <w:t>–</w:t>
    </w:r>
    <w:r w:rsidRPr="00266516">
      <w:rPr>
        <w:rFonts w:asciiTheme="majorHAnsi" w:hAnsiTheme="majorHAnsi"/>
        <w:color w:val="1F497D" w:themeColor="text2"/>
        <w:sz w:val="18"/>
        <w:szCs w:val="18"/>
      </w:rPr>
      <w:t xml:space="preserve"> </w:t>
    </w:r>
    <w:r w:rsidR="00C062A2">
      <w:rPr>
        <w:rFonts w:asciiTheme="majorHAnsi" w:hAnsiTheme="majorHAnsi"/>
        <w:color w:val="1F497D" w:themeColor="text2"/>
        <w:sz w:val="18"/>
        <w:szCs w:val="18"/>
      </w:rPr>
      <w:t>marzo</w:t>
    </w:r>
    <w:r w:rsidR="00F61B96">
      <w:rPr>
        <w:rFonts w:asciiTheme="majorHAnsi" w:hAnsiTheme="majorHAnsi"/>
        <w:color w:val="1F497D" w:themeColor="text2"/>
        <w:sz w:val="18"/>
        <w:szCs w:val="18"/>
      </w:rPr>
      <w:t xml:space="preserve"> </w:t>
    </w:r>
    <w:r w:rsidR="00295DA7">
      <w:rPr>
        <w:rFonts w:asciiTheme="majorHAnsi" w:hAnsiTheme="majorHAnsi"/>
        <w:color w:val="1F497D" w:themeColor="text2"/>
        <w:sz w:val="18"/>
        <w:szCs w:val="18"/>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1D977" w14:textId="77777777" w:rsidR="00E2699C" w:rsidRDefault="00E2699C" w:rsidP="00F814A7">
      <w:r>
        <w:separator/>
      </w:r>
    </w:p>
  </w:footnote>
  <w:footnote w:type="continuationSeparator" w:id="0">
    <w:p w14:paraId="70CE5C38" w14:textId="77777777" w:rsidR="00E2699C" w:rsidRDefault="00E2699C" w:rsidP="00F8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A590" w14:textId="54C030A3" w:rsidR="008B08EF" w:rsidRDefault="008B08EF" w:rsidP="0086039A">
    <w:pPr>
      <w:pStyle w:val="Encabezado"/>
      <w:jc w:val="center"/>
    </w:pPr>
    <w:r w:rsidRPr="0086039A">
      <w:rPr>
        <w:rFonts w:asciiTheme="majorHAnsi" w:hAnsiTheme="majorHAnsi"/>
        <w:color w:val="1F497D" w:themeColor="text2"/>
        <w:sz w:val="16"/>
        <w:szCs w:val="16"/>
        <w:lang w:val="es-ES"/>
      </w:rPr>
      <w:t>INFLACIÓN, TIPO DE CAMBIO, PRECIOS, COMPRA DE DÓLARES</w:t>
    </w:r>
    <w:r w:rsidR="00DA254C">
      <w:rPr>
        <w:rFonts w:asciiTheme="majorHAnsi" w:hAnsiTheme="majorHAnsi"/>
        <w:color w:val="1F497D" w:themeColor="text2"/>
        <w:sz w:val="16"/>
        <w:szCs w:val="16"/>
        <w:lang w:val="es-ES"/>
      </w:rPr>
      <w:t>, OBJETIVOS ECONÓMICOS</w:t>
    </w:r>
    <w:r w:rsidRPr="0086039A">
      <w:rPr>
        <w:rFonts w:asciiTheme="majorHAnsi" w:hAnsiTheme="majorHAnsi"/>
        <w:color w:val="1F497D" w:themeColor="text2"/>
        <w:sz w:val="16"/>
        <w:szCs w:val="16"/>
        <w:lang w:val="es-ES"/>
      </w:rPr>
      <w:t xml:space="preserve"> Y OTRO</w:t>
    </w:r>
    <w:r>
      <w:rPr>
        <w:rFonts w:asciiTheme="majorHAnsi" w:hAnsiTheme="majorHAnsi"/>
        <w:color w:val="1F497D" w:themeColor="text2"/>
        <w:sz w:val="16"/>
        <w:szCs w:val="16"/>
        <w:lang w:val="es-ES"/>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B3B9F"/>
    <w:multiLevelType w:val="hybridMultilevel"/>
    <w:tmpl w:val="FB28B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255F4A"/>
    <w:multiLevelType w:val="hybridMultilevel"/>
    <w:tmpl w:val="5AC47F6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A085DBA"/>
    <w:multiLevelType w:val="hybridMultilevel"/>
    <w:tmpl w:val="4A4CB72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0BD3DDB"/>
    <w:multiLevelType w:val="hybridMultilevel"/>
    <w:tmpl w:val="7B3C29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90C4157"/>
    <w:multiLevelType w:val="hybridMultilevel"/>
    <w:tmpl w:val="C74899D2"/>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D8A09E2"/>
    <w:multiLevelType w:val="hybridMultilevel"/>
    <w:tmpl w:val="DE060FC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16E6424"/>
    <w:multiLevelType w:val="hybridMultilevel"/>
    <w:tmpl w:val="FE78F868"/>
    <w:lvl w:ilvl="0" w:tplc="6C208D1C">
      <w:start w:val="1"/>
      <w:numFmt w:val="lowerLetter"/>
      <w:lvlText w:val="%1)"/>
      <w:lvlJc w:val="left"/>
      <w:pPr>
        <w:ind w:left="840" w:hanging="4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4DC7BBD"/>
    <w:multiLevelType w:val="hybridMultilevel"/>
    <w:tmpl w:val="C1D225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5632FAF"/>
    <w:multiLevelType w:val="hybridMultilevel"/>
    <w:tmpl w:val="EC6A1F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80D6E84"/>
    <w:multiLevelType w:val="hybridMultilevel"/>
    <w:tmpl w:val="CD1E9DD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4EC10880"/>
    <w:multiLevelType w:val="hybridMultilevel"/>
    <w:tmpl w:val="4F6C4C2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F97244C"/>
    <w:multiLevelType w:val="hybridMultilevel"/>
    <w:tmpl w:val="47F03C4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52721FA1"/>
    <w:multiLevelType w:val="hybridMultilevel"/>
    <w:tmpl w:val="73F644A6"/>
    <w:lvl w:ilvl="0" w:tplc="5F8CF8E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12105D6"/>
    <w:multiLevelType w:val="hybridMultilevel"/>
    <w:tmpl w:val="DE060FC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8DA428E"/>
    <w:multiLevelType w:val="hybridMultilevel"/>
    <w:tmpl w:val="1B5889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6E685818"/>
    <w:multiLevelType w:val="hybridMultilevel"/>
    <w:tmpl w:val="58369AD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75DA77B6"/>
    <w:multiLevelType w:val="hybridMultilevel"/>
    <w:tmpl w:val="8208E6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8EA09C4"/>
    <w:multiLevelType w:val="hybridMultilevel"/>
    <w:tmpl w:val="B5F2986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7E350BAD"/>
    <w:multiLevelType w:val="hybridMultilevel"/>
    <w:tmpl w:val="B2C80FEE"/>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num w:numId="1">
    <w:abstractNumId w:val="10"/>
  </w:num>
  <w:num w:numId="2">
    <w:abstractNumId w:val="11"/>
  </w:num>
  <w:num w:numId="3">
    <w:abstractNumId w:val="5"/>
  </w:num>
  <w:num w:numId="4">
    <w:abstractNumId w:val="15"/>
  </w:num>
  <w:num w:numId="5">
    <w:abstractNumId w:val="13"/>
  </w:num>
  <w:num w:numId="6">
    <w:abstractNumId w:val="2"/>
  </w:num>
  <w:num w:numId="7">
    <w:abstractNumId w:val="12"/>
  </w:num>
  <w:num w:numId="8">
    <w:abstractNumId w:val="16"/>
  </w:num>
  <w:num w:numId="9">
    <w:abstractNumId w:val="0"/>
  </w:num>
  <w:num w:numId="10">
    <w:abstractNumId w:val="6"/>
  </w:num>
  <w:num w:numId="11">
    <w:abstractNumId w:val="9"/>
  </w:num>
  <w:num w:numId="12">
    <w:abstractNumId w:val="3"/>
  </w:num>
  <w:num w:numId="13">
    <w:abstractNumId w:val="17"/>
  </w:num>
  <w:num w:numId="14">
    <w:abstractNumId w:val="1"/>
  </w:num>
  <w:num w:numId="15">
    <w:abstractNumId w:val="18"/>
  </w:num>
  <w:num w:numId="16">
    <w:abstractNumId w:val="8"/>
  </w:num>
  <w:num w:numId="17">
    <w:abstractNumId w:val="4"/>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0D2"/>
    <w:rsid w:val="000001D7"/>
    <w:rsid w:val="00002878"/>
    <w:rsid w:val="00002C3C"/>
    <w:rsid w:val="000069A7"/>
    <w:rsid w:val="000101B6"/>
    <w:rsid w:val="00010C7A"/>
    <w:rsid w:val="000124A6"/>
    <w:rsid w:val="00012DCB"/>
    <w:rsid w:val="00013AA7"/>
    <w:rsid w:val="0001402A"/>
    <w:rsid w:val="000147D8"/>
    <w:rsid w:val="00014ABC"/>
    <w:rsid w:val="000219F8"/>
    <w:rsid w:val="00021B10"/>
    <w:rsid w:val="00022EF7"/>
    <w:rsid w:val="000232AE"/>
    <w:rsid w:val="000232B8"/>
    <w:rsid w:val="00023B2D"/>
    <w:rsid w:val="00025925"/>
    <w:rsid w:val="000266D7"/>
    <w:rsid w:val="00030E5A"/>
    <w:rsid w:val="00031B87"/>
    <w:rsid w:val="0003481C"/>
    <w:rsid w:val="00034C3C"/>
    <w:rsid w:val="00040238"/>
    <w:rsid w:val="00041ABC"/>
    <w:rsid w:val="00042665"/>
    <w:rsid w:val="000440E5"/>
    <w:rsid w:val="00045C3A"/>
    <w:rsid w:val="00050594"/>
    <w:rsid w:val="000528E1"/>
    <w:rsid w:val="00052BF6"/>
    <w:rsid w:val="0005339B"/>
    <w:rsid w:val="0005429D"/>
    <w:rsid w:val="0005778D"/>
    <w:rsid w:val="0006024E"/>
    <w:rsid w:val="00060574"/>
    <w:rsid w:val="0006057C"/>
    <w:rsid w:val="00064EC8"/>
    <w:rsid w:val="00074DA5"/>
    <w:rsid w:val="000757F1"/>
    <w:rsid w:val="00075A9C"/>
    <w:rsid w:val="00077D02"/>
    <w:rsid w:val="00080FA7"/>
    <w:rsid w:val="00080FB1"/>
    <w:rsid w:val="00081F76"/>
    <w:rsid w:val="00083F74"/>
    <w:rsid w:val="00087D89"/>
    <w:rsid w:val="00087FFC"/>
    <w:rsid w:val="000925E4"/>
    <w:rsid w:val="00096356"/>
    <w:rsid w:val="0009692B"/>
    <w:rsid w:val="00096B2C"/>
    <w:rsid w:val="000970A1"/>
    <w:rsid w:val="00097413"/>
    <w:rsid w:val="000A1A74"/>
    <w:rsid w:val="000A2365"/>
    <w:rsid w:val="000A2F89"/>
    <w:rsid w:val="000A350E"/>
    <w:rsid w:val="000A41EA"/>
    <w:rsid w:val="000A41FA"/>
    <w:rsid w:val="000A6065"/>
    <w:rsid w:val="000B03E3"/>
    <w:rsid w:val="000B0521"/>
    <w:rsid w:val="000B43FD"/>
    <w:rsid w:val="000B52C4"/>
    <w:rsid w:val="000B533E"/>
    <w:rsid w:val="000B53BE"/>
    <w:rsid w:val="000B546C"/>
    <w:rsid w:val="000B6EEC"/>
    <w:rsid w:val="000C053C"/>
    <w:rsid w:val="000C0D2B"/>
    <w:rsid w:val="000C1BE4"/>
    <w:rsid w:val="000C2426"/>
    <w:rsid w:val="000C3D4F"/>
    <w:rsid w:val="000C4CDF"/>
    <w:rsid w:val="000C5FD0"/>
    <w:rsid w:val="000C613D"/>
    <w:rsid w:val="000C6DE8"/>
    <w:rsid w:val="000D180C"/>
    <w:rsid w:val="000D224A"/>
    <w:rsid w:val="000D3A24"/>
    <w:rsid w:val="000D4364"/>
    <w:rsid w:val="000D7C95"/>
    <w:rsid w:val="000E0AA6"/>
    <w:rsid w:val="000E0CE0"/>
    <w:rsid w:val="000E1524"/>
    <w:rsid w:val="000E1583"/>
    <w:rsid w:val="000E38DF"/>
    <w:rsid w:val="000E3EF4"/>
    <w:rsid w:val="000E7618"/>
    <w:rsid w:val="000E7D29"/>
    <w:rsid w:val="000F05CB"/>
    <w:rsid w:val="000F10A7"/>
    <w:rsid w:val="000F2676"/>
    <w:rsid w:val="000F28A4"/>
    <w:rsid w:val="000F3BF9"/>
    <w:rsid w:val="000F4839"/>
    <w:rsid w:val="000F51B6"/>
    <w:rsid w:val="000F58A9"/>
    <w:rsid w:val="000F6632"/>
    <w:rsid w:val="000F7452"/>
    <w:rsid w:val="00101155"/>
    <w:rsid w:val="00101F01"/>
    <w:rsid w:val="0010540E"/>
    <w:rsid w:val="0010773C"/>
    <w:rsid w:val="001169F2"/>
    <w:rsid w:val="00116C9B"/>
    <w:rsid w:val="0011762F"/>
    <w:rsid w:val="001179FF"/>
    <w:rsid w:val="0012035F"/>
    <w:rsid w:val="0012098F"/>
    <w:rsid w:val="001216A0"/>
    <w:rsid w:val="0012595E"/>
    <w:rsid w:val="0012711E"/>
    <w:rsid w:val="00131392"/>
    <w:rsid w:val="00132F0E"/>
    <w:rsid w:val="001340E7"/>
    <w:rsid w:val="0013493F"/>
    <w:rsid w:val="0013495D"/>
    <w:rsid w:val="00134E16"/>
    <w:rsid w:val="0013537C"/>
    <w:rsid w:val="00142454"/>
    <w:rsid w:val="00142B45"/>
    <w:rsid w:val="001438BE"/>
    <w:rsid w:val="00145D40"/>
    <w:rsid w:val="00147AFE"/>
    <w:rsid w:val="001504C1"/>
    <w:rsid w:val="00150635"/>
    <w:rsid w:val="00150772"/>
    <w:rsid w:val="00150CB3"/>
    <w:rsid w:val="00152D31"/>
    <w:rsid w:val="00152D7C"/>
    <w:rsid w:val="00157E57"/>
    <w:rsid w:val="00162571"/>
    <w:rsid w:val="00166DE1"/>
    <w:rsid w:val="001719A7"/>
    <w:rsid w:val="00172792"/>
    <w:rsid w:val="0017289D"/>
    <w:rsid w:val="00173616"/>
    <w:rsid w:val="00174169"/>
    <w:rsid w:val="00174DD9"/>
    <w:rsid w:val="00176CB7"/>
    <w:rsid w:val="0017791D"/>
    <w:rsid w:val="00182451"/>
    <w:rsid w:val="001838F5"/>
    <w:rsid w:val="00184CBF"/>
    <w:rsid w:val="00186B0A"/>
    <w:rsid w:val="00187BFC"/>
    <w:rsid w:val="00194852"/>
    <w:rsid w:val="00195932"/>
    <w:rsid w:val="00195E0F"/>
    <w:rsid w:val="00197005"/>
    <w:rsid w:val="00197900"/>
    <w:rsid w:val="001A2750"/>
    <w:rsid w:val="001A2C8F"/>
    <w:rsid w:val="001A312C"/>
    <w:rsid w:val="001A3F2B"/>
    <w:rsid w:val="001A4481"/>
    <w:rsid w:val="001B120D"/>
    <w:rsid w:val="001B19C5"/>
    <w:rsid w:val="001B19CD"/>
    <w:rsid w:val="001B1DD2"/>
    <w:rsid w:val="001B267F"/>
    <w:rsid w:val="001B334C"/>
    <w:rsid w:val="001B38D1"/>
    <w:rsid w:val="001B4FA5"/>
    <w:rsid w:val="001C0005"/>
    <w:rsid w:val="001C1683"/>
    <w:rsid w:val="001C2084"/>
    <w:rsid w:val="001C294A"/>
    <w:rsid w:val="001C4C10"/>
    <w:rsid w:val="001C58B9"/>
    <w:rsid w:val="001D002E"/>
    <w:rsid w:val="001D16AD"/>
    <w:rsid w:val="001D3A9D"/>
    <w:rsid w:val="001D4170"/>
    <w:rsid w:val="001D6366"/>
    <w:rsid w:val="001E0A8B"/>
    <w:rsid w:val="001E17CC"/>
    <w:rsid w:val="001E239A"/>
    <w:rsid w:val="001E2BAD"/>
    <w:rsid w:val="001E2D85"/>
    <w:rsid w:val="001E323C"/>
    <w:rsid w:val="001E692F"/>
    <w:rsid w:val="001F025E"/>
    <w:rsid w:val="001F17A0"/>
    <w:rsid w:val="001F3883"/>
    <w:rsid w:val="001F3E30"/>
    <w:rsid w:val="001F5CB2"/>
    <w:rsid w:val="001F626B"/>
    <w:rsid w:val="001F685D"/>
    <w:rsid w:val="001F724A"/>
    <w:rsid w:val="00200658"/>
    <w:rsid w:val="00201992"/>
    <w:rsid w:val="00201AE3"/>
    <w:rsid w:val="00202745"/>
    <w:rsid w:val="002028D2"/>
    <w:rsid w:val="00203EDF"/>
    <w:rsid w:val="00204671"/>
    <w:rsid w:val="002064A0"/>
    <w:rsid w:val="002068A3"/>
    <w:rsid w:val="00211402"/>
    <w:rsid w:val="00212A32"/>
    <w:rsid w:val="0021468F"/>
    <w:rsid w:val="0021693E"/>
    <w:rsid w:val="002201B8"/>
    <w:rsid w:val="00220BD8"/>
    <w:rsid w:val="00220C71"/>
    <w:rsid w:val="00220E0B"/>
    <w:rsid w:val="0022175D"/>
    <w:rsid w:val="0022192D"/>
    <w:rsid w:val="002231A3"/>
    <w:rsid w:val="0022330A"/>
    <w:rsid w:val="0022347B"/>
    <w:rsid w:val="00232047"/>
    <w:rsid w:val="00232E30"/>
    <w:rsid w:val="00233335"/>
    <w:rsid w:val="00242660"/>
    <w:rsid w:val="0024273F"/>
    <w:rsid w:val="0024346B"/>
    <w:rsid w:val="002449EF"/>
    <w:rsid w:val="002450D2"/>
    <w:rsid w:val="00245461"/>
    <w:rsid w:val="002476A2"/>
    <w:rsid w:val="00247ABE"/>
    <w:rsid w:val="00247C05"/>
    <w:rsid w:val="00247E54"/>
    <w:rsid w:val="00247ECF"/>
    <w:rsid w:val="00252560"/>
    <w:rsid w:val="002532DC"/>
    <w:rsid w:val="00261689"/>
    <w:rsid w:val="0026557E"/>
    <w:rsid w:val="00265B87"/>
    <w:rsid w:val="00266516"/>
    <w:rsid w:val="00270473"/>
    <w:rsid w:val="00270577"/>
    <w:rsid w:val="0027200B"/>
    <w:rsid w:val="002737CE"/>
    <w:rsid w:val="00273E3E"/>
    <w:rsid w:val="00277761"/>
    <w:rsid w:val="00277B23"/>
    <w:rsid w:val="00281B30"/>
    <w:rsid w:val="00283374"/>
    <w:rsid w:val="002841BD"/>
    <w:rsid w:val="002844D7"/>
    <w:rsid w:val="0028469D"/>
    <w:rsid w:val="002856B1"/>
    <w:rsid w:val="00291181"/>
    <w:rsid w:val="002913F1"/>
    <w:rsid w:val="0029515C"/>
    <w:rsid w:val="00295280"/>
    <w:rsid w:val="00295DA7"/>
    <w:rsid w:val="00297222"/>
    <w:rsid w:val="002A0393"/>
    <w:rsid w:val="002A0DAF"/>
    <w:rsid w:val="002A1555"/>
    <w:rsid w:val="002A15B4"/>
    <w:rsid w:val="002A21C2"/>
    <w:rsid w:val="002A2EA8"/>
    <w:rsid w:val="002A3215"/>
    <w:rsid w:val="002A398B"/>
    <w:rsid w:val="002A42DA"/>
    <w:rsid w:val="002A44C6"/>
    <w:rsid w:val="002A68B6"/>
    <w:rsid w:val="002A7198"/>
    <w:rsid w:val="002B39B7"/>
    <w:rsid w:val="002B4295"/>
    <w:rsid w:val="002B5E74"/>
    <w:rsid w:val="002B6A97"/>
    <w:rsid w:val="002B6B32"/>
    <w:rsid w:val="002C0873"/>
    <w:rsid w:val="002C18FF"/>
    <w:rsid w:val="002C1955"/>
    <w:rsid w:val="002C35D4"/>
    <w:rsid w:val="002C527B"/>
    <w:rsid w:val="002C637E"/>
    <w:rsid w:val="002D11A5"/>
    <w:rsid w:val="002D5B20"/>
    <w:rsid w:val="002D69F2"/>
    <w:rsid w:val="002E0D39"/>
    <w:rsid w:val="002E1B7D"/>
    <w:rsid w:val="002E4D51"/>
    <w:rsid w:val="002E4F9D"/>
    <w:rsid w:val="002E5F58"/>
    <w:rsid w:val="002E7ED9"/>
    <w:rsid w:val="002F0728"/>
    <w:rsid w:val="002F128B"/>
    <w:rsid w:val="002F4E7B"/>
    <w:rsid w:val="00301D4C"/>
    <w:rsid w:val="00302266"/>
    <w:rsid w:val="00304DF8"/>
    <w:rsid w:val="00305017"/>
    <w:rsid w:val="0030615B"/>
    <w:rsid w:val="00307BA6"/>
    <w:rsid w:val="00307D70"/>
    <w:rsid w:val="0031044E"/>
    <w:rsid w:val="00310D59"/>
    <w:rsid w:val="00312C91"/>
    <w:rsid w:val="003133FB"/>
    <w:rsid w:val="003135F4"/>
    <w:rsid w:val="00316CD1"/>
    <w:rsid w:val="003177CE"/>
    <w:rsid w:val="0032112D"/>
    <w:rsid w:val="00327082"/>
    <w:rsid w:val="00332D9F"/>
    <w:rsid w:val="00334EAA"/>
    <w:rsid w:val="00335C0A"/>
    <w:rsid w:val="00335E0D"/>
    <w:rsid w:val="00335E56"/>
    <w:rsid w:val="0033755E"/>
    <w:rsid w:val="003377CE"/>
    <w:rsid w:val="00343659"/>
    <w:rsid w:val="003441D2"/>
    <w:rsid w:val="003447CD"/>
    <w:rsid w:val="00344899"/>
    <w:rsid w:val="0034559F"/>
    <w:rsid w:val="00345C91"/>
    <w:rsid w:val="00346F26"/>
    <w:rsid w:val="00350C3C"/>
    <w:rsid w:val="00351BF0"/>
    <w:rsid w:val="003524C5"/>
    <w:rsid w:val="0035289A"/>
    <w:rsid w:val="00353033"/>
    <w:rsid w:val="0035457E"/>
    <w:rsid w:val="00354696"/>
    <w:rsid w:val="00354FF6"/>
    <w:rsid w:val="00355CFC"/>
    <w:rsid w:val="003562EA"/>
    <w:rsid w:val="00360BF4"/>
    <w:rsid w:val="00361EC8"/>
    <w:rsid w:val="003639E1"/>
    <w:rsid w:val="00365125"/>
    <w:rsid w:val="00371BA9"/>
    <w:rsid w:val="00372338"/>
    <w:rsid w:val="00375488"/>
    <w:rsid w:val="003755F9"/>
    <w:rsid w:val="00376341"/>
    <w:rsid w:val="0037736D"/>
    <w:rsid w:val="0038037E"/>
    <w:rsid w:val="00381451"/>
    <w:rsid w:val="00382CD8"/>
    <w:rsid w:val="00385569"/>
    <w:rsid w:val="003863DB"/>
    <w:rsid w:val="00386AE1"/>
    <w:rsid w:val="00387E9B"/>
    <w:rsid w:val="003927B5"/>
    <w:rsid w:val="00392F27"/>
    <w:rsid w:val="0039725F"/>
    <w:rsid w:val="003A073A"/>
    <w:rsid w:val="003A0CF2"/>
    <w:rsid w:val="003A18C5"/>
    <w:rsid w:val="003A3682"/>
    <w:rsid w:val="003A3C97"/>
    <w:rsid w:val="003A44B5"/>
    <w:rsid w:val="003A49A5"/>
    <w:rsid w:val="003A5CBE"/>
    <w:rsid w:val="003A6100"/>
    <w:rsid w:val="003A67F1"/>
    <w:rsid w:val="003B2812"/>
    <w:rsid w:val="003B35E5"/>
    <w:rsid w:val="003B36CC"/>
    <w:rsid w:val="003B4904"/>
    <w:rsid w:val="003B546E"/>
    <w:rsid w:val="003B7460"/>
    <w:rsid w:val="003B7AE7"/>
    <w:rsid w:val="003C3DB5"/>
    <w:rsid w:val="003C58D2"/>
    <w:rsid w:val="003C5B51"/>
    <w:rsid w:val="003C5C1E"/>
    <w:rsid w:val="003C6154"/>
    <w:rsid w:val="003C6C7E"/>
    <w:rsid w:val="003D145B"/>
    <w:rsid w:val="003D26BC"/>
    <w:rsid w:val="003D45F1"/>
    <w:rsid w:val="003D4DDC"/>
    <w:rsid w:val="003D4FCD"/>
    <w:rsid w:val="003D5471"/>
    <w:rsid w:val="003E0DC3"/>
    <w:rsid w:val="003E20C1"/>
    <w:rsid w:val="003E298A"/>
    <w:rsid w:val="003E34B4"/>
    <w:rsid w:val="003E3A6D"/>
    <w:rsid w:val="003E53F0"/>
    <w:rsid w:val="003E577D"/>
    <w:rsid w:val="003E7714"/>
    <w:rsid w:val="003F084E"/>
    <w:rsid w:val="003F14A2"/>
    <w:rsid w:val="003F24A8"/>
    <w:rsid w:val="003F2673"/>
    <w:rsid w:val="003F293B"/>
    <w:rsid w:val="003F30C2"/>
    <w:rsid w:val="003F41EC"/>
    <w:rsid w:val="003F42E3"/>
    <w:rsid w:val="003F7FAF"/>
    <w:rsid w:val="00401252"/>
    <w:rsid w:val="0040331D"/>
    <w:rsid w:val="00405277"/>
    <w:rsid w:val="00405432"/>
    <w:rsid w:val="00405E23"/>
    <w:rsid w:val="004079C9"/>
    <w:rsid w:val="00410A1B"/>
    <w:rsid w:val="004110C5"/>
    <w:rsid w:val="0041128C"/>
    <w:rsid w:val="00411369"/>
    <w:rsid w:val="004115DD"/>
    <w:rsid w:val="004125C4"/>
    <w:rsid w:val="004144E1"/>
    <w:rsid w:val="004169F5"/>
    <w:rsid w:val="0042139F"/>
    <w:rsid w:val="0042240F"/>
    <w:rsid w:val="00423106"/>
    <w:rsid w:val="004239A7"/>
    <w:rsid w:val="00430589"/>
    <w:rsid w:val="00431844"/>
    <w:rsid w:val="004318DD"/>
    <w:rsid w:val="0043592B"/>
    <w:rsid w:val="00435BA6"/>
    <w:rsid w:val="00437B68"/>
    <w:rsid w:val="00437F6F"/>
    <w:rsid w:val="00440EA1"/>
    <w:rsid w:val="00444B5A"/>
    <w:rsid w:val="00445519"/>
    <w:rsid w:val="00445EC5"/>
    <w:rsid w:val="00451190"/>
    <w:rsid w:val="00454D96"/>
    <w:rsid w:val="00456177"/>
    <w:rsid w:val="00460AAF"/>
    <w:rsid w:val="00461098"/>
    <w:rsid w:val="00461B94"/>
    <w:rsid w:val="00461BAF"/>
    <w:rsid w:val="00461D9E"/>
    <w:rsid w:val="0046512D"/>
    <w:rsid w:val="00465FAD"/>
    <w:rsid w:val="00467FDB"/>
    <w:rsid w:val="00471E6C"/>
    <w:rsid w:val="00471FC1"/>
    <w:rsid w:val="00474836"/>
    <w:rsid w:val="00475EF1"/>
    <w:rsid w:val="0047710D"/>
    <w:rsid w:val="00482B12"/>
    <w:rsid w:val="00483F38"/>
    <w:rsid w:val="00487241"/>
    <w:rsid w:val="004901CA"/>
    <w:rsid w:val="00490BF7"/>
    <w:rsid w:val="004917A1"/>
    <w:rsid w:val="00493257"/>
    <w:rsid w:val="004945A5"/>
    <w:rsid w:val="004A07E1"/>
    <w:rsid w:val="004A1BC6"/>
    <w:rsid w:val="004A271D"/>
    <w:rsid w:val="004A3221"/>
    <w:rsid w:val="004A4B33"/>
    <w:rsid w:val="004A5930"/>
    <w:rsid w:val="004A5A98"/>
    <w:rsid w:val="004A619B"/>
    <w:rsid w:val="004A75BD"/>
    <w:rsid w:val="004B068E"/>
    <w:rsid w:val="004B527C"/>
    <w:rsid w:val="004B5608"/>
    <w:rsid w:val="004B65EC"/>
    <w:rsid w:val="004B6B2D"/>
    <w:rsid w:val="004C0808"/>
    <w:rsid w:val="004C1606"/>
    <w:rsid w:val="004C4410"/>
    <w:rsid w:val="004C496D"/>
    <w:rsid w:val="004C58A9"/>
    <w:rsid w:val="004C7790"/>
    <w:rsid w:val="004D0C4E"/>
    <w:rsid w:val="004D522B"/>
    <w:rsid w:val="004D6629"/>
    <w:rsid w:val="004E005A"/>
    <w:rsid w:val="004E02F2"/>
    <w:rsid w:val="004E03C8"/>
    <w:rsid w:val="004E0B21"/>
    <w:rsid w:val="004E175B"/>
    <w:rsid w:val="004E1DB8"/>
    <w:rsid w:val="004E31DA"/>
    <w:rsid w:val="004E38B1"/>
    <w:rsid w:val="004E4CAA"/>
    <w:rsid w:val="004E56B4"/>
    <w:rsid w:val="004E5F47"/>
    <w:rsid w:val="004F0D96"/>
    <w:rsid w:val="004F15F9"/>
    <w:rsid w:val="004F29A0"/>
    <w:rsid w:val="004F3757"/>
    <w:rsid w:val="004F3832"/>
    <w:rsid w:val="004F74A9"/>
    <w:rsid w:val="004F7699"/>
    <w:rsid w:val="00500EAF"/>
    <w:rsid w:val="00501A36"/>
    <w:rsid w:val="0050314D"/>
    <w:rsid w:val="00505766"/>
    <w:rsid w:val="005063AA"/>
    <w:rsid w:val="0050664A"/>
    <w:rsid w:val="0050693C"/>
    <w:rsid w:val="00506D6B"/>
    <w:rsid w:val="00510189"/>
    <w:rsid w:val="0051083F"/>
    <w:rsid w:val="00510FBA"/>
    <w:rsid w:val="00514A22"/>
    <w:rsid w:val="00515F6D"/>
    <w:rsid w:val="005164AC"/>
    <w:rsid w:val="00516775"/>
    <w:rsid w:val="005172F2"/>
    <w:rsid w:val="00517D8A"/>
    <w:rsid w:val="00522420"/>
    <w:rsid w:val="005225C1"/>
    <w:rsid w:val="00522F9B"/>
    <w:rsid w:val="00524070"/>
    <w:rsid w:val="0052628D"/>
    <w:rsid w:val="00526F79"/>
    <w:rsid w:val="00531078"/>
    <w:rsid w:val="005339E6"/>
    <w:rsid w:val="00541BB6"/>
    <w:rsid w:val="00545099"/>
    <w:rsid w:val="005458B4"/>
    <w:rsid w:val="00545E16"/>
    <w:rsid w:val="0054716A"/>
    <w:rsid w:val="005473F4"/>
    <w:rsid w:val="005477F7"/>
    <w:rsid w:val="005479E4"/>
    <w:rsid w:val="005503E5"/>
    <w:rsid w:val="00550D33"/>
    <w:rsid w:val="00554266"/>
    <w:rsid w:val="00556031"/>
    <w:rsid w:val="00557AAE"/>
    <w:rsid w:val="00560592"/>
    <w:rsid w:val="0056190A"/>
    <w:rsid w:val="00563C68"/>
    <w:rsid w:val="005647B5"/>
    <w:rsid w:val="00564966"/>
    <w:rsid w:val="00564F85"/>
    <w:rsid w:val="0056515A"/>
    <w:rsid w:val="00565319"/>
    <w:rsid w:val="005708A1"/>
    <w:rsid w:val="005732E1"/>
    <w:rsid w:val="00574044"/>
    <w:rsid w:val="00575E2F"/>
    <w:rsid w:val="005804AB"/>
    <w:rsid w:val="00583969"/>
    <w:rsid w:val="00591643"/>
    <w:rsid w:val="00591F37"/>
    <w:rsid w:val="005A025B"/>
    <w:rsid w:val="005A07E4"/>
    <w:rsid w:val="005A2567"/>
    <w:rsid w:val="005A406C"/>
    <w:rsid w:val="005A6F10"/>
    <w:rsid w:val="005A7E32"/>
    <w:rsid w:val="005B0328"/>
    <w:rsid w:val="005B0CCE"/>
    <w:rsid w:val="005B31BC"/>
    <w:rsid w:val="005B4344"/>
    <w:rsid w:val="005B5C6D"/>
    <w:rsid w:val="005B7DE1"/>
    <w:rsid w:val="005B7F28"/>
    <w:rsid w:val="005C2DE6"/>
    <w:rsid w:val="005C34A8"/>
    <w:rsid w:val="005C3AF7"/>
    <w:rsid w:val="005C4F82"/>
    <w:rsid w:val="005C5A48"/>
    <w:rsid w:val="005C7936"/>
    <w:rsid w:val="005D003D"/>
    <w:rsid w:val="005D186E"/>
    <w:rsid w:val="005D3D0C"/>
    <w:rsid w:val="005D46C0"/>
    <w:rsid w:val="005D692C"/>
    <w:rsid w:val="005E2183"/>
    <w:rsid w:val="005E3312"/>
    <w:rsid w:val="005E74F3"/>
    <w:rsid w:val="005F09EC"/>
    <w:rsid w:val="005F1B38"/>
    <w:rsid w:val="005F2334"/>
    <w:rsid w:val="005F3107"/>
    <w:rsid w:val="005F4C48"/>
    <w:rsid w:val="005F52C3"/>
    <w:rsid w:val="005F70C4"/>
    <w:rsid w:val="00601149"/>
    <w:rsid w:val="0060163B"/>
    <w:rsid w:val="00604869"/>
    <w:rsid w:val="0060679C"/>
    <w:rsid w:val="00607D6F"/>
    <w:rsid w:val="00610D4F"/>
    <w:rsid w:val="00611CAC"/>
    <w:rsid w:val="00612438"/>
    <w:rsid w:val="00613B6E"/>
    <w:rsid w:val="00615923"/>
    <w:rsid w:val="00616ECE"/>
    <w:rsid w:val="00617E56"/>
    <w:rsid w:val="006207BF"/>
    <w:rsid w:val="00621C4B"/>
    <w:rsid w:val="00624F85"/>
    <w:rsid w:val="00625680"/>
    <w:rsid w:val="00625982"/>
    <w:rsid w:val="00625C58"/>
    <w:rsid w:val="0062623A"/>
    <w:rsid w:val="00627920"/>
    <w:rsid w:val="0063186B"/>
    <w:rsid w:val="00633D01"/>
    <w:rsid w:val="00635094"/>
    <w:rsid w:val="006371B5"/>
    <w:rsid w:val="00637388"/>
    <w:rsid w:val="006406F6"/>
    <w:rsid w:val="00641912"/>
    <w:rsid w:val="006424F3"/>
    <w:rsid w:val="00645793"/>
    <w:rsid w:val="0065085B"/>
    <w:rsid w:val="006522B2"/>
    <w:rsid w:val="006547EE"/>
    <w:rsid w:val="00654BFF"/>
    <w:rsid w:val="00656FA7"/>
    <w:rsid w:val="00657053"/>
    <w:rsid w:val="006609F5"/>
    <w:rsid w:val="00665023"/>
    <w:rsid w:val="00666EDD"/>
    <w:rsid w:val="006679C0"/>
    <w:rsid w:val="00671235"/>
    <w:rsid w:val="00672C48"/>
    <w:rsid w:val="006748A8"/>
    <w:rsid w:val="00675F60"/>
    <w:rsid w:val="00676244"/>
    <w:rsid w:val="00680B2B"/>
    <w:rsid w:val="00680CFD"/>
    <w:rsid w:val="00681454"/>
    <w:rsid w:val="0068251D"/>
    <w:rsid w:val="006831B4"/>
    <w:rsid w:val="006846DA"/>
    <w:rsid w:val="00684BAC"/>
    <w:rsid w:val="0069072E"/>
    <w:rsid w:val="0069393F"/>
    <w:rsid w:val="006A12A7"/>
    <w:rsid w:val="006A17C6"/>
    <w:rsid w:val="006A26CE"/>
    <w:rsid w:val="006A41F8"/>
    <w:rsid w:val="006A4BB3"/>
    <w:rsid w:val="006A6040"/>
    <w:rsid w:val="006A69EB"/>
    <w:rsid w:val="006B271D"/>
    <w:rsid w:val="006B2F03"/>
    <w:rsid w:val="006B2FBD"/>
    <w:rsid w:val="006B61D8"/>
    <w:rsid w:val="006B74B8"/>
    <w:rsid w:val="006C12C3"/>
    <w:rsid w:val="006C4146"/>
    <w:rsid w:val="006C66B3"/>
    <w:rsid w:val="006D0189"/>
    <w:rsid w:val="006D21C2"/>
    <w:rsid w:val="006D28C1"/>
    <w:rsid w:val="006D2D69"/>
    <w:rsid w:val="006D2DD4"/>
    <w:rsid w:val="006D615B"/>
    <w:rsid w:val="006E0285"/>
    <w:rsid w:val="006E0AB4"/>
    <w:rsid w:val="006E11D1"/>
    <w:rsid w:val="006E18F8"/>
    <w:rsid w:val="006E44EF"/>
    <w:rsid w:val="006E4914"/>
    <w:rsid w:val="006E4B0C"/>
    <w:rsid w:val="006E637E"/>
    <w:rsid w:val="006E79EF"/>
    <w:rsid w:val="006F0DAF"/>
    <w:rsid w:val="006F3DEF"/>
    <w:rsid w:val="006F5502"/>
    <w:rsid w:val="006F5786"/>
    <w:rsid w:val="006F58D5"/>
    <w:rsid w:val="006F6B61"/>
    <w:rsid w:val="006F6E10"/>
    <w:rsid w:val="006F7394"/>
    <w:rsid w:val="00700608"/>
    <w:rsid w:val="00700C28"/>
    <w:rsid w:val="00701CCB"/>
    <w:rsid w:val="007039DE"/>
    <w:rsid w:val="007048FD"/>
    <w:rsid w:val="00706ECA"/>
    <w:rsid w:val="007075C3"/>
    <w:rsid w:val="00707BB2"/>
    <w:rsid w:val="007102D6"/>
    <w:rsid w:val="007104A3"/>
    <w:rsid w:val="00710965"/>
    <w:rsid w:val="00710C53"/>
    <w:rsid w:val="00711EB2"/>
    <w:rsid w:val="007124C3"/>
    <w:rsid w:val="007130BD"/>
    <w:rsid w:val="00715571"/>
    <w:rsid w:val="00716495"/>
    <w:rsid w:val="00722AB5"/>
    <w:rsid w:val="00723616"/>
    <w:rsid w:val="00724050"/>
    <w:rsid w:val="007278B6"/>
    <w:rsid w:val="00727D6C"/>
    <w:rsid w:val="0073081A"/>
    <w:rsid w:val="00732D91"/>
    <w:rsid w:val="00733133"/>
    <w:rsid w:val="00733A67"/>
    <w:rsid w:val="007341A9"/>
    <w:rsid w:val="00735D64"/>
    <w:rsid w:val="0073691B"/>
    <w:rsid w:val="007376BB"/>
    <w:rsid w:val="00737E8F"/>
    <w:rsid w:val="00740006"/>
    <w:rsid w:val="007413E3"/>
    <w:rsid w:val="00743CE1"/>
    <w:rsid w:val="00746029"/>
    <w:rsid w:val="00746B67"/>
    <w:rsid w:val="00747D6A"/>
    <w:rsid w:val="007508E0"/>
    <w:rsid w:val="00752A27"/>
    <w:rsid w:val="00753228"/>
    <w:rsid w:val="00753D2B"/>
    <w:rsid w:val="007540CD"/>
    <w:rsid w:val="00756212"/>
    <w:rsid w:val="0075633D"/>
    <w:rsid w:val="00761A96"/>
    <w:rsid w:val="00763D5C"/>
    <w:rsid w:val="007733E0"/>
    <w:rsid w:val="007737B7"/>
    <w:rsid w:val="00775636"/>
    <w:rsid w:val="00776D38"/>
    <w:rsid w:val="00777E84"/>
    <w:rsid w:val="00781252"/>
    <w:rsid w:val="007817FC"/>
    <w:rsid w:val="00782B86"/>
    <w:rsid w:val="007835DC"/>
    <w:rsid w:val="00784337"/>
    <w:rsid w:val="00785387"/>
    <w:rsid w:val="0078586D"/>
    <w:rsid w:val="00787CEF"/>
    <w:rsid w:val="007907E9"/>
    <w:rsid w:val="007933DC"/>
    <w:rsid w:val="0079610B"/>
    <w:rsid w:val="00797434"/>
    <w:rsid w:val="00797918"/>
    <w:rsid w:val="007B2645"/>
    <w:rsid w:val="007B6F92"/>
    <w:rsid w:val="007B7025"/>
    <w:rsid w:val="007D09D1"/>
    <w:rsid w:val="007D1138"/>
    <w:rsid w:val="007D72E2"/>
    <w:rsid w:val="007D73D0"/>
    <w:rsid w:val="007D7972"/>
    <w:rsid w:val="007E0135"/>
    <w:rsid w:val="007E087B"/>
    <w:rsid w:val="007E0A6D"/>
    <w:rsid w:val="007E167E"/>
    <w:rsid w:val="007E2918"/>
    <w:rsid w:val="007E37C3"/>
    <w:rsid w:val="007E435F"/>
    <w:rsid w:val="007E4EAF"/>
    <w:rsid w:val="007F010A"/>
    <w:rsid w:val="007F02FD"/>
    <w:rsid w:val="007F06DF"/>
    <w:rsid w:val="007F6029"/>
    <w:rsid w:val="007F73F7"/>
    <w:rsid w:val="00800AA6"/>
    <w:rsid w:val="00803CB0"/>
    <w:rsid w:val="00804D29"/>
    <w:rsid w:val="0080533C"/>
    <w:rsid w:val="0080541D"/>
    <w:rsid w:val="00806C9D"/>
    <w:rsid w:val="00811531"/>
    <w:rsid w:val="00812F23"/>
    <w:rsid w:val="00815DEA"/>
    <w:rsid w:val="0081680D"/>
    <w:rsid w:val="00816AF6"/>
    <w:rsid w:val="008178A3"/>
    <w:rsid w:val="0082071A"/>
    <w:rsid w:val="0082093A"/>
    <w:rsid w:val="00820E00"/>
    <w:rsid w:val="00821BF9"/>
    <w:rsid w:val="00822025"/>
    <w:rsid w:val="008244B8"/>
    <w:rsid w:val="008264D4"/>
    <w:rsid w:val="00830A86"/>
    <w:rsid w:val="00830E15"/>
    <w:rsid w:val="00832AFA"/>
    <w:rsid w:val="0083402F"/>
    <w:rsid w:val="0083505D"/>
    <w:rsid w:val="008358C3"/>
    <w:rsid w:val="00835A77"/>
    <w:rsid w:val="00835E79"/>
    <w:rsid w:val="0084052E"/>
    <w:rsid w:val="00844FCB"/>
    <w:rsid w:val="0084781E"/>
    <w:rsid w:val="00847D15"/>
    <w:rsid w:val="00851F7D"/>
    <w:rsid w:val="00853989"/>
    <w:rsid w:val="00855AFC"/>
    <w:rsid w:val="0085666C"/>
    <w:rsid w:val="00856C33"/>
    <w:rsid w:val="0086039A"/>
    <w:rsid w:val="0086076E"/>
    <w:rsid w:val="00861008"/>
    <w:rsid w:val="0086148C"/>
    <w:rsid w:val="0086168A"/>
    <w:rsid w:val="008617DB"/>
    <w:rsid w:val="00861C39"/>
    <w:rsid w:val="00863187"/>
    <w:rsid w:val="0086339C"/>
    <w:rsid w:val="00863A54"/>
    <w:rsid w:val="00864BF0"/>
    <w:rsid w:val="00864EF4"/>
    <w:rsid w:val="00866E9F"/>
    <w:rsid w:val="00866F7C"/>
    <w:rsid w:val="00867ADA"/>
    <w:rsid w:val="008738C5"/>
    <w:rsid w:val="00875E3C"/>
    <w:rsid w:val="008819E1"/>
    <w:rsid w:val="00882101"/>
    <w:rsid w:val="00882A1F"/>
    <w:rsid w:val="00885B90"/>
    <w:rsid w:val="0088725F"/>
    <w:rsid w:val="008876DC"/>
    <w:rsid w:val="00892DE9"/>
    <w:rsid w:val="008A018D"/>
    <w:rsid w:val="008A11D9"/>
    <w:rsid w:val="008A1A30"/>
    <w:rsid w:val="008A2610"/>
    <w:rsid w:val="008A36BA"/>
    <w:rsid w:val="008A3AB3"/>
    <w:rsid w:val="008A48E1"/>
    <w:rsid w:val="008A5CFD"/>
    <w:rsid w:val="008B08EF"/>
    <w:rsid w:val="008B3BC4"/>
    <w:rsid w:val="008B587C"/>
    <w:rsid w:val="008C0FE4"/>
    <w:rsid w:val="008C2792"/>
    <w:rsid w:val="008C44E0"/>
    <w:rsid w:val="008C4CBC"/>
    <w:rsid w:val="008C675F"/>
    <w:rsid w:val="008D1456"/>
    <w:rsid w:val="008D34D3"/>
    <w:rsid w:val="008D3E4A"/>
    <w:rsid w:val="008D4363"/>
    <w:rsid w:val="008D5D51"/>
    <w:rsid w:val="008D7450"/>
    <w:rsid w:val="008E0088"/>
    <w:rsid w:val="008E07B2"/>
    <w:rsid w:val="008E15C0"/>
    <w:rsid w:val="008E3E53"/>
    <w:rsid w:val="008E48CE"/>
    <w:rsid w:val="008E519B"/>
    <w:rsid w:val="008E6DB4"/>
    <w:rsid w:val="008E7700"/>
    <w:rsid w:val="008F00AC"/>
    <w:rsid w:val="008F0394"/>
    <w:rsid w:val="008F18C2"/>
    <w:rsid w:val="008F4970"/>
    <w:rsid w:val="008F6189"/>
    <w:rsid w:val="00900FED"/>
    <w:rsid w:val="0090152C"/>
    <w:rsid w:val="009022B6"/>
    <w:rsid w:val="009031F8"/>
    <w:rsid w:val="00903677"/>
    <w:rsid w:val="00904197"/>
    <w:rsid w:val="0090785F"/>
    <w:rsid w:val="00910FF1"/>
    <w:rsid w:val="009110A3"/>
    <w:rsid w:val="00911903"/>
    <w:rsid w:val="00912619"/>
    <w:rsid w:val="0092037A"/>
    <w:rsid w:val="00924ADF"/>
    <w:rsid w:val="00925B26"/>
    <w:rsid w:val="0092703B"/>
    <w:rsid w:val="00932445"/>
    <w:rsid w:val="00934DFC"/>
    <w:rsid w:val="0094046B"/>
    <w:rsid w:val="00941EED"/>
    <w:rsid w:val="00942113"/>
    <w:rsid w:val="009423EA"/>
    <w:rsid w:val="00943342"/>
    <w:rsid w:val="00945873"/>
    <w:rsid w:val="009468E4"/>
    <w:rsid w:val="0094737B"/>
    <w:rsid w:val="00950252"/>
    <w:rsid w:val="009517CD"/>
    <w:rsid w:val="00951911"/>
    <w:rsid w:val="009531F5"/>
    <w:rsid w:val="00955523"/>
    <w:rsid w:val="00955946"/>
    <w:rsid w:val="00957DAB"/>
    <w:rsid w:val="00960E69"/>
    <w:rsid w:val="00961FF7"/>
    <w:rsid w:val="0096311A"/>
    <w:rsid w:val="0096448F"/>
    <w:rsid w:val="009648EB"/>
    <w:rsid w:val="009656A2"/>
    <w:rsid w:val="009662DF"/>
    <w:rsid w:val="00972DEF"/>
    <w:rsid w:val="009730C0"/>
    <w:rsid w:val="009755E8"/>
    <w:rsid w:val="00976037"/>
    <w:rsid w:val="00976208"/>
    <w:rsid w:val="009802E9"/>
    <w:rsid w:val="00980511"/>
    <w:rsid w:val="00981272"/>
    <w:rsid w:val="00981661"/>
    <w:rsid w:val="009820A9"/>
    <w:rsid w:val="009839E0"/>
    <w:rsid w:val="009842BF"/>
    <w:rsid w:val="009853B1"/>
    <w:rsid w:val="00985596"/>
    <w:rsid w:val="00985E86"/>
    <w:rsid w:val="009864CC"/>
    <w:rsid w:val="00992258"/>
    <w:rsid w:val="009924F4"/>
    <w:rsid w:val="00992E31"/>
    <w:rsid w:val="0099796A"/>
    <w:rsid w:val="009A1CEF"/>
    <w:rsid w:val="009A2084"/>
    <w:rsid w:val="009A29EA"/>
    <w:rsid w:val="009A44AF"/>
    <w:rsid w:val="009A58E7"/>
    <w:rsid w:val="009A5972"/>
    <w:rsid w:val="009A5F77"/>
    <w:rsid w:val="009A6531"/>
    <w:rsid w:val="009A6578"/>
    <w:rsid w:val="009A7B4D"/>
    <w:rsid w:val="009A7FBE"/>
    <w:rsid w:val="009B3B2D"/>
    <w:rsid w:val="009B690D"/>
    <w:rsid w:val="009B74D8"/>
    <w:rsid w:val="009C0539"/>
    <w:rsid w:val="009C2782"/>
    <w:rsid w:val="009C2B15"/>
    <w:rsid w:val="009C35F2"/>
    <w:rsid w:val="009C7187"/>
    <w:rsid w:val="009C7FCE"/>
    <w:rsid w:val="009D1150"/>
    <w:rsid w:val="009D1A5F"/>
    <w:rsid w:val="009D2A42"/>
    <w:rsid w:val="009D2E3C"/>
    <w:rsid w:val="009D2E61"/>
    <w:rsid w:val="009D3766"/>
    <w:rsid w:val="009D4D61"/>
    <w:rsid w:val="009D7F93"/>
    <w:rsid w:val="009E0DEB"/>
    <w:rsid w:val="009E1186"/>
    <w:rsid w:val="009E165A"/>
    <w:rsid w:val="009E1C09"/>
    <w:rsid w:val="009E261B"/>
    <w:rsid w:val="009E27FB"/>
    <w:rsid w:val="009E47BC"/>
    <w:rsid w:val="009E4ABB"/>
    <w:rsid w:val="009E5CB9"/>
    <w:rsid w:val="009E5D9F"/>
    <w:rsid w:val="009E648F"/>
    <w:rsid w:val="009E65EA"/>
    <w:rsid w:val="009E756E"/>
    <w:rsid w:val="009F15BC"/>
    <w:rsid w:val="009F3160"/>
    <w:rsid w:val="009F386D"/>
    <w:rsid w:val="009F5156"/>
    <w:rsid w:val="009F566F"/>
    <w:rsid w:val="009F5CB6"/>
    <w:rsid w:val="009F5E55"/>
    <w:rsid w:val="009F60DB"/>
    <w:rsid w:val="009F66BC"/>
    <w:rsid w:val="009F72D3"/>
    <w:rsid w:val="00A01359"/>
    <w:rsid w:val="00A01AA3"/>
    <w:rsid w:val="00A0307B"/>
    <w:rsid w:val="00A032AF"/>
    <w:rsid w:val="00A043AD"/>
    <w:rsid w:val="00A04647"/>
    <w:rsid w:val="00A04B34"/>
    <w:rsid w:val="00A05BC3"/>
    <w:rsid w:val="00A07FCE"/>
    <w:rsid w:val="00A11F1D"/>
    <w:rsid w:val="00A1774A"/>
    <w:rsid w:val="00A21370"/>
    <w:rsid w:val="00A222B9"/>
    <w:rsid w:val="00A23444"/>
    <w:rsid w:val="00A23AA5"/>
    <w:rsid w:val="00A246F9"/>
    <w:rsid w:val="00A24F5D"/>
    <w:rsid w:val="00A25D83"/>
    <w:rsid w:val="00A27075"/>
    <w:rsid w:val="00A27DA8"/>
    <w:rsid w:val="00A33AC1"/>
    <w:rsid w:val="00A35D60"/>
    <w:rsid w:val="00A36005"/>
    <w:rsid w:val="00A36DE4"/>
    <w:rsid w:val="00A3773E"/>
    <w:rsid w:val="00A40243"/>
    <w:rsid w:val="00A41BDF"/>
    <w:rsid w:val="00A43304"/>
    <w:rsid w:val="00A44909"/>
    <w:rsid w:val="00A46808"/>
    <w:rsid w:val="00A46DA9"/>
    <w:rsid w:val="00A47091"/>
    <w:rsid w:val="00A50304"/>
    <w:rsid w:val="00A5089C"/>
    <w:rsid w:val="00A5253F"/>
    <w:rsid w:val="00A5418F"/>
    <w:rsid w:val="00A56010"/>
    <w:rsid w:val="00A57A77"/>
    <w:rsid w:val="00A60BB5"/>
    <w:rsid w:val="00A65EAE"/>
    <w:rsid w:val="00A666CC"/>
    <w:rsid w:val="00A7075A"/>
    <w:rsid w:val="00A7163D"/>
    <w:rsid w:val="00A71AE5"/>
    <w:rsid w:val="00A72ABA"/>
    <w:rsid w:val="00A73951"/>
    <w:rsid w:val="00A75069"/>
    <w:rsid w:val="00A76CD5"/>
    <w:rsid w:val="00A77304"/>
    <w:rsid w:val="00A77F42"/>
    <w:rsid w:val="00A807D7"/>
    <w:rsid w:val="00A8082A"/>
    <w:rsid w:val="00A82521"/>
    <w:rsid w:val="00A90B2D"/>
    <w:rsid w:val="00AA197F"/>
    <w:rsid w:val="00AA2032"/>
    <w:rsid w:val="00AA3765"/>
    <w:rsid w:val="00AA43AF"/>
    <w:rsid w:val="00AB1B15"/>
    <w:rsid w:val="00AB330B"/>
    <w:rsid w:val="00AB67B8"/>
    <w:rsid w:val="00AB76B5"/>
    <w:rsid w:val="00AB7B0B"/>
    <w:rsid w:val="00AB7E25"/>
    <w:rsid w:val="00AC010A"/>
    <w:rsid w:val="00AC1BDF"/>
    <w:rsid w:val="00AC625B"/>
    <w:rsid w:val="00AC76E9"/>
    <w:rsid w:val="00AD1391"/>
    <w:rsid w:val="00AD2959"/>
    <w:rsid w:val="00AD2C60"/>
    <w:rsid w:val="00AD2EC0"/>
    <w:rsid w:val="00AD30D8"/>
    <w:rsid w:val="00AD4A9C"/>
    <w:rsid w:val="00AD5594"/>
    <w:rsid w:val="00AD5E13"/>
    <w:rsid w:val="00AD5E1B"/>
    <w:rsid w:val="00AD6097"/>
    <w:rsid w:val="00AD766F"/>
    <w:rsid w:val="00AD7789"/>
    <w:rsid w:val="00AE15FA"/>
    <w:rsid w:val="00AE1CA9"/>
    <w:rsid w:val="00AE33DD"/>
    <w:rsid w:val="00AE41CF"/>
    <w:rsid w:val="00AE4FC2"/>
    <w:rsid w:val="00AE5BD2"/>
    <w:rsid w:val="00AE5FF8"/>
    <w:rsid w:val="00AE6208"/>
    <w:rsid w:val="00AE7146"/>
    <w:rsid w:val="00AF1FFB"/>
    <w:rsid w:val="00AF228C"/>
    <w:rsid w:val="00AF30FA"/>
    <w:rsid w:val="00AF49D7"/>
    <w:rsid w:val="00AF4ED8"/>
    <w:rsid w:val="00AF5908"/>
    <w:rsid w:val="00AF616B"/>
    <w:rsid w:val="00B00B98"/>
    <w:rsid w:val="00B0372D"/>
    <w:rsid w:val="00B04347"/>
    <w:rsid w:val="00B1289F"/>
    <w:rsid w:val="00B13B4C"/>
    <w:rsid w:val="00B21099"/>
    <w:rsid w:val="00B21298"/>
    <w:rsid w:val="00B22342"/>
    <w:rsid w:val="00B25955"/>
    <w:rsid w:val="00B260DB"/>
    <w:rsid w:val="00B30463"/>
    <w:rsid w:val="00B3427D"/>
    <w:rsid w:val="00B41B34"/>
    <w:rsid w:val="00B43162"/>
    <w:rsid w:val="00B4720F"/>
    <w:rsid w:val="00B47F90"/>
    <w:rsid w:val="00B51781"/>
    <w:rsid w:val="00B5311D"/>
    <w:rsid w:val="00B53DEB"/>
    <w:rsid w:val="00B57519"/>
    <w:rsid w:val="00B5756A"/>
    <w:rsid w:val="00B64A59"/>
    <w:rsid w:val="00B65303"/>
    <w:rsid w:val="00B6541D"/>
    <w:rsid w:val="00B6799F"/>
    <w:rsid w:val="00B67B64"/>
    <w:rsid w:val="00B70205"/>
    <w:rsid w:val="00B719ED"/>
    <w:rsid w:val="00B72682"/>
    <w:rsid w:val="00B729FF"/>
    <w:rsid w:val="00B74CF4"/>
    <w:rsid w:val="00B76D12"/>
    <w:rsid w:val="00B7799A"/>
    <w:rsid w:val="00B802DB"/>
    <w:rsid w:val="00B8054E"/>
    <w:rsid w:val="00B81CA3"/>
    <w:rsid w:val="00B822F6"/>
    <w:rsid w:val="00B835AB"/>
    <w:rsid w:val="00B84DEC"/>
    <w:rsid w:val="00B84FAA"/>
    <w:rsid w:val="00B857E6"/>
    <w:rsid w:val="00B85CDB"/>
    <w:rsid w:val="00B94C62"/>
    <w:rsid w:val="00B96873"/>
    <w:rsid w:val="00B96FC5"/>
    <w:rsid w:val="00BA29B2"/>
    <w:rsid w:val="00BA3611"/>
    <w:rsid w:val="00BA49BB"/>
    <w:rsid w:val="00BA4FEE"/>
    <w:rsid w:val="00BA5BDE"/>
    <w:rsid w:val="00BA6D91"/>
    <w:rsid w:val="00BA7BB2"/>
    <w:rsid w:val="00BB0D71"/>
    <w:rsid w:val="00BB0E2C"/>
    <w:rsid w:val="00BB17EB"/>
    <w:rsid w:val="00BB40D8"/>
    <w:rsid w:val="00BB56C1"/>
    <w:rsid w:val="00BC4B99"/>
    <w:rsid w:val="00BC4BA2"/>
    <w:rsid w:val="00BC55D2"/>
    <w:rsid w:val="00BC5820"/>
    <w:rsid w:val="00BC7732"/>
    <w:rsid w:val="00BD21BB"/>
    <w:rsid w:val="00BD739A"/>
    <w:rsid w:val="00BE0072"/>
    <w:rsid w:val="00BE1E08"/>
    <w:rsid w:val="00BE2FE3"/>
    <w:rsid w:val="00BE4C4A"/>
    <w:rsid w:val="00BE582D"/>
    <w:rsid w:val="00BE6218"/>
    <w:rsid w:val="00BE6834"/>
    <w:rsid w:val="00BF1B38"/>
    <w:rsid w:val="00BF2F61"/>
    <w:rsid w:val="00BF69AC"/>
    <w:rsid w:val="00BF7618"/>
    <w:rsid w:val="00C03789"/>
    <w:rsid w:val="00C038F3"/>
    <w:rsid w:val="00C04194"/>
    <w:rsid w:val="00C053C8"/>
    <w:rsid w:val="00C062A2"/>
    <w:rsid w:val="00C074E4"/>
    <w:rsid w:val="00C108B5"/>
    <w:rsid w:val="00C12F63"/>
    <w:rsid w:val="00C130A5"/>
    <w:rsid w:val="00C1341B"/>
    <w:rsid w:val="00C1591C"/>
    <w:rsid w:val="00C207EA"/>
    <w:rsid w:val="00C21C8F"/>
    <w:rsid w:val="00C22D92"/>
    <w:rsid w:val="00C257C9"/>
    <w:rsid w:val="00C25A8B"/>
    <w:rsid w:val="00C25DCF"/>
    <w:rsid w:val="00C25E0E"/>
    <w:rsid w:val="00C25EFF"/>
    <w:rsid w:val="00C303A6"/>
    <w:rsid w:val="00C30420"/>
    <w:rsid w:val="00C3285B"/>
    <w:rsid w:val="00C357A0"/>
    <w:rsid w:val="00C36238"/>
    <w:rsid w:val="00C43CB9"/>
    <w:rsid w:val="00C445C6"/>
    <w:rsid w:val="00C462AE"/>
    <w:rsid w:val="00C506F5"/>
    <w:rsid w:val="00C50F23"/>
    <w:rsid w:val="00C51D35"/>
    <w:rsid w:val="00C51F16"/>
    <w:rsid w:val="00C53A0B"/>
    <w:rsid w:val="00C5442B"/>
    <w:rsid w:val="00C6104A"/>
    <w:rsid w:val="00C633C1"/>
    <w:rsid w:val="00C647B9"/>
    <w:rsid w:val="00C678E8"/>
    <w:rsid w:val="00C71FB8"/>
    <w:rsid w:val="00C7237E"/>
    <w:rsid w:val="00C732FE"/>
    <w:rsid w:val="00C73E48"/>
    <w:rsid w:val="00C7414D"/>
    <w:rsid w:val="00C74E95"/>
    <w:rsid w:val="00C81132"/>
    <w:rsid w:val="00C812F2"/>
    <w:rsid w:val="00C824C7"/>
    <w:rsid w:val="00C878A2"/>
    <w:rsid w:val="00C87D69"/>
    <w:rsid w:val="00C90B0C"/>
    <w:rsid w:val="00C9203F"/>
    <w:rsid w:val="00C932BB"/>
    <w:rsid w:val="00C93DB6"/>
    <w:rsid w:val="00C944A0"/>
    <w:rsid w:val="00CA2A57"/>
    <w:rsid w:val="00CA4F7C"/>
    <w:rsid w:val="00CA5753"/>
    <w:rsid w:val="00CA66DC"/>
    <w:rsid w:val="00CB1E71"/>
    <w:rsid w:val="00CB26B2"/>
    <w:rsid w:val="00CB49AA"/>
    <w:rsid w:val="00CC003D"/>
    <w:rsid w:val="00CC01D0"/>
    <w:rsid w:val="00CC02B2"/>
    <w:rsid w:val="00CC06BA"/>
    <w:rsid w:val="00CC266C"/>
    <w:rsid w:val="00CC274B"/>
    <w:rsid w:val="00CC278F"/>
    <w:rsid w:val="00CC3B40"/>
    <w:rsid w:val="00CC4F75"/>
    <w:rsid w:val="00CC5145"/>
    <w:rsid w:val="00CC5757"/>
    <w:rsid w:val="00CC6015"/>
    <w:rsid w:val="00CC7FE2"/>
    <w:rsid w:val="00CD11F5"/>
    <w:rsid w:val="00CD2591"/>
    <w:rsid w:val="00CD3C17"/>
    <w:rsid w:val="00CD78F1"/>
    <w:rsid w:val="00CE0C39"/>
    <w:rsid w:val="00CE2E22"/>
    <w:rsid w:val="00CE38C4"/>
    <w:rsid w:val="00CE407A"/>
    <w:rsid w:val="00CE5E97"/>
    <w:rsid w:val="00CE66AC"/>
    <w:rsid w:val="00CE7604"/>
    <w:rsid w:val="00CF0F7E"/>
    <w:rsid w:val="00CF174E"/>
    <w:rsid w:val="00CF1998"/>
    <w:rsid w:val="00CF25E0"/>
    <w:rsid w:val="00CF5092"/>
    <w:rsid w:val="00CF6F89"/>
    <w:rsid w:val="00CF7F37"/>
    <w:rsid w:val="00D02C52"/>
    <w:rsid w:val="00D031CA"/>
    <w:rsid w:val="00D06169"/>
    <w:rsid w:val="00D1004D"/>
    <w:rsid w:val="00D107EF"/>
    <w:rsid w:val="00D11A76"/>
    <w:rsid w:val="00D1237C"/>
    <w:rsid w:val="00D1352A"/>
    <w:rsid w:val="00D14C6D"/>
    <w:rsid w:val="00D161E3"/>
    <w:rsid w:val="00D1718E"/>
    <w:rsid w:val="00D21C80"/>
    <w:rsid w:val="00D21F68"/>
    <w:rsid w:val="00D22F4F"/>
    <w:rsid w:val="00D279E2"/>
    <w:rsid w:val="00D3232B"/>
    <w:rsid w:val="00D32FD6"/>
    <w:rsid w:val="00D34841"/>
    <w:rsid w:val="00D3625F"/>
    <w:rsid w:val="00D36316"/>
    <w:rsid w:val="00D36EE6"/>
    <w:rsid w:val="00D4067D"/>
    <w:rsid w:val="00D408A5"/>
    <w:rsid w:val="00D42E92"/>
    <w:rsid w:val="00D46D66"/>
    <w:rsid w:val="00D47286"/>
    <w:rsid w:val="00D47A29"/>
    <w:rsid w:val="00D47CFB"/>
    <w:rsid w:val="00D51001"/>
    <w:rsid w:val="00D527F1"/>
    <w:rsid w:val="00D538F6"/>
    <w:rsid w:val="00D538F7"/>
    <w:rsid w:val="00D53C78"/>
    <w:rsid w:val="00D54379"/>
    <w:rsid w:val="00D547F5"/>
    <w:rsid w:val="00D554E7"/>
    <w:rsid w:val="00D55646"/>
    <w:rsid w:val="00D55E8A"/>
    <w:rsid w:val="00D562EF"/>
    <w:rsid w:val="00D56E81"/>
    <w:rsid w:val="00D57F8B"/>
    <w:rsid w:val="00D60B20"/>
    <w:rsid w:val="00D64AC8"/>
    <w:rsid w:val="00D65FFD"/>
    <w:rsid w:val="00D67406"/>
    <w:rsid w:val="00D7037E"/>
    <w:rsid w:val="00D71BE5"/>
    <w:rsid w:val="00D7255B"/>
    <w:rsid w:val="00D73858"/>
    <w:rsid w:val="00D73AF5"/>
    <w:rsid w:val="00D75E71"/>
    <w:rsid w:val="00D7781E"/>
    <w:rsid w:val="00D8116B"/>
    <w:rsid w:val="00D82322"/>
    <w:rsid w:val="00D82D80"/>
    <w:rsid w:val="00D846FB"/>
    <w:rsid w:val="00D86469"/>
    <w:rsid w:val="00D90EB7"/>
    <w:rsid w:val="00D96570"/>
    <w:rsid w:val="00D96C35"/>
    <w:rsid w:val="00D97189"/>
    <w:rsid w:val="00D97BC8"/>
    <w:rsid w:val="00DA0827"/>
    <w:rsid w:val="00DA1764"/>
    <w:rsid w:val="00DA254C"/>
    <w:rsid w:val="00DA70E0"/>
    <w:rsid w:val="00DA750B"/>
    <w:rsid w:val="00DA7B20"/>
    <w:rsid w:val="00DB1563"/>
    <w:rsid w:val="00DB2FA3"/>
    <w:rsid w:val="00DB459B"/>
    <w:rsid w:val="00DC23BE"/>
    <w:rsid w:val="00DC33D6"/>
    <w:rsid w:val="00DC5D15"/>
    <w:rsid w:val="00DD1464"/>
    <w:rsid w:val="00DD1866"/>
    <w:rsid w:val="00DD2029"/>
    <w:rsid w:val="00DD2745"/>
    <w:rsid w:val="00DD3E30"/>
    <w:rsid w:val="00DD481B"/>
    <w:rsid w:val="00DD5E51"/>
    <w:rsid w:val="00DD69F7"/>
    <w:rsid w:val="00DD74AF"/>
    <w:rsid w:val="00DE02B6"/>
    <w:rsid w:val="00DE192C"/>
    <w:rsid w:val="00DE1A55"/>
    <w:rsid w:val="00DE3573"/>
    <w:rsid w:val="00DE54E7"/>
    <w:rsid w:val="00DE5E4E"/>
    <w:rsid w:val="00DE6C32"/>
    <w:rsid w:val="00DF0F57"/>
    <w:rsid w:val="00DF617D"/>
    <w:rsid w:val="00DF72FD"/>
    <w:rsid w:val="00E00CE5"/>
    <w:rsid w:val="00E03B7C"/>
    <w:rsid w:val="00E047F9"/>
    <w:rsid w:val="00E054EA"/>
    <w:rsid w:val="00E063E0"/>
    <w:rsid w:val="00E063E6"/>
    <w:rsid w:val="00E06D37"/>
    <w:rsid w:val="00E12684"/>
    <w:rsid w:val="00E140DB"/>
    <w:rsid w:val="00E14E6F"/>
    <w:rsid w:val="00E157A1"/>
    <w:rsid w:val="00E1652A"/>
    <w:rsid w:val="00E17381"/>
    <w:rsid w:val="00E216E1"/>
    <w:rsid w:val="00E21DF8"/>
    <w:rsid w:val="00E23E04"/>
    <w:rsid w:val="00E24FF3"/>
    <w:rsid w:val="00E261B5"/>
    <w:rsid w:val="00E2699C"/>
    <w:rsid w:val="00E27B2D"/>
    <w:rsid w:val="00E33B65"/>
    <w:rsid w:val="00E3748D"/>
    <w:rsid w:val="00E421C3"/>
    <w:rsid w:val="00E436CB"/>
    <w:rsid w:val="00E45D7C"/>
    <w:rsid w:val="00E46217"/>
    <w:rsid w:val="00E470B8"/>
    <w:rsid w:val="00E473B2"/>
    <w:rsid w:val="00E47C2C"/>
    <w:rsid w:val="00E50150"/>
    <w:rsid w:val="00E50E13"/>
    <w:rsid w:val="00E51FA0"/>
    <w:rsid w:val="00E51FD8"/>
    <w:rsid w:val="00E524C5"/>
    <w:rsid w:val="00E53244"/>
    <w:rsid w:val="00E53FD7"/>
    <w:rsid w:val="00E613BE"/>
    <w:rsid w:val="00E61D2A"/>
    <w:rsid w:val="00E62430"/>
    <w:rsid w:val="00E67415"/>
    <w:rsid w:val="00E716B9"/>
    <w:rsid w:val="00E72227"/>
    <w:rsid w:val="00E72DB5"/>
    <w:rsid w:val="00E7307E"/>
    <w:rsid w:val="00E74EE1"/>
    <w:rsid w:val="00E7569F"/>
    <w:rsid w:val="00E75A8D"/>
    <w:rsid w:val="00E76CD2"/>
    <w:rsid w:val="00E802D5"/>
    <w:rsid w:val="00E8192E"/>
    <w:rsid w:val="00E84283"/>
    <w:rsid w:val="00E84957"/>
    <w:rsid w:val="00E85F15"/>
    <w:rsid w:val="00E86D39"/>
    <w:rsid w:val="00E875C5"/>
    <w:rsid w:val="00E91E95"/>
    <w:rsid w:val="00EA2477"/>
    <w:rsid w:val="00EA5733"/>
    <w:rsid w:val="00EA5FA3"/>
    <w:rsid w:val="00EB1C56"/>
    <w:rsid w:val="00EB2854"/>
    <w:rsid w:val="00EB333D"/>
    <w:rsid w:val="00EB351E"/>
    <w:rsid w:val="00EB4441"/>
    <w:rsid w:val="00EB593D"/>
    <w:rsid w:val="00EB5972"/>
    <w:rsid w:val="00EB7031"/>
    <w:rsid w:val="00EC0860"/>
    <w:rsid w:val="00EC3CD5"/>
    <w:rsid w:val="00EC7CEE"/>
    <w:rsid w:val="00EC7DB7"/>
    <w:rsid w:val="00ED0EA0"/>
    <w:rsid w:val="00ED15CA"/>
    <w:rsid w:val="00ED1A3F"/>
    <w:rsid w:val="00ED2700"/>
    <w:rsid w:val="00EE0B6E"/>
    <w:rsid w:val="00EE149C"/>
    <w:rsid w:val="00EE50B5"/>
    <w:rsid w:val="00EE6597"/>
    <w:rsid w:val="00EE6FE1"/>
    <w:rsid w:val="00EF0E1F"/>
    <w:rsid w:val="00EF1817"/>
    <w:rsid w:val="00EF185A"/>
    <w:rsid w:val="00EF30DC"/>
    <w:rsid w:val="00EF3816"/>
    <w:rsid w:val="00F0093C"/>
    <w:rsid w:val="00F00BC2"/>
    <w:rsid w:val="00F025C9"/>
    <w:rsid w:val="00F02B3B"/>
    <w:rsid w:val="00F045F5"/>
    <w:rsid w:val="00F078F7"/>
    <w:rsid w:val="00F11BED"/>
    <w:rsid w:val="00F12A7F"/>
    <w:rsid w:val="00F13B80"/>
    <w:rsid w:val="00F14840"/>
    <w:rsid w:val="00F1498B"/>
    <w:rsid w:val="00F153B2"/>
    <w:rsid w:val="00F160C4"/>
    <w:rsid w:val="00F17A10"/>
    <w:rsid w:val="00F17B4C"/>
    <w:rsid w:val="00F21BD2"/>
    <w:rsid w:val="00F22978"/>
    <w:rsid w:val="00F24E8F"/>
    <w:rsid w:val="00F30AD9"/>
    <w:rsid w:val="00F32846"/>
    <w:rsid w:val="00F3295A"/>
    <w:rsid w:val="00F36065"/>
    <w:rsid w:val="00F36BCE"/>
    <w:rsid w:val="00F36FDD"/>
    <w:rsid w:val="00F406ED"/>
    <w:rsid w:val="00F4582F"/>
    <w:rsid w:val="00F4671F"/>
    <w:rsid w:val="00F47ECA"/>
    <w:rsid w:val="00F506E7"/>
    <w:rsid w:val="00F52343"/>
    <w:rsid w:val="00F52749"/>
    <w:rsid w:val="00F538D7"/>
    <w:rsid w:val="00F5492E"/>
    <w:rsid w:val="00F558B2"/>
    <w:rsid w:val="00F55A4A"/>
    <w:rsid w:val="00F569FF"/>
    <w:rsid w:val="00F56E0C"/>
    <w:rsid w:val="00F61B96"/>
    <w:rsid w:val="00F626C2"/>
    <w:rsid w:val="00F62898"/>
    <w:rsid w:val="00F62BD8"/>
    <w:rsid w:val="00F635B2"/>
    <w:rsid w:val="00F6390D"/>
    <w:rsid w:val="00F6617D"/>
    <w:rsid w:val="00F66AE5"/>
    <w:rsid w:val="00F66BF1"/>
    <w:rsid w:val="00F7004C"/>
    <w:rsid w:val="00F72FC1"/>
    <w:rsid w:val="00F746EE"/>
    <w:rsid w:val="00F74851"/>
    <w:rsid w:val="00F75869"/>
    <w:rsid w:val="00F7593D"/>
    <w:rsid w:val="00F76E88"/>
    <w:rsid w:val="00F8123A"/>
    <w:rsid w:val="00F814A7"/>
    <w:rsid w:val="00F8219F"/>
    <w:rsid w:val="00F8490A"/>
    <w:rsid w:val="00F86F6D"/>
    <w:rsid w:val="00F90136"/>
    <w:rsid w:val="00F903FA"/>
    <w:rsid w:val="00F90EBC"/>
    <w:rsid w:val="00F9130D"/>
    <w:rsid w:val="00F943F3"/>
    <w:rsid w:val="00F96530"/>
    <w:rsid w:val="00F96831"/>
    <w:rsid w:val="00FA0FBA"/>
    <w:rsid w:val="00FA254F"/>
    <w:rsid w:val="00FA4790"/>
    <w:rsid w:val="00FA5CC6"/>
    <w:rsid w:val="00FA726E"/>
    <w:rsid w:val="00FA7D2C"/>
    <w:rsid w:val="00FB07AA"/>
    <w:rsid w:val="00FB0936"/>
    <w:rsid w:val="00FB3862"/>
    <w:rsid w:val="00FB6080"/>
    <w:rsid w:val="00FC0336"/>
    <w:rsid w:val="00FC1DED"/>
    <w:rsid w:val="00FC2E01"/>
    <w:rsid w:val="00FC47F7"/>
    <w:rsid w:val="00FC730F"/>
    <w:rsid w:val="00FD022D"/>
    <w:rsid w:val="00FD0C57"/>
    <w:rsid w:val="00FD1771"/>
    <w:rsid w:val="00FD1953"/>
    <w:rsid w:val="00FE2C67"/>
    <w:rsid w:val="00FE48C9"/>
    <w:rsid w:val="00FE4E36"/>
    <w:rsid w:val="00FE5CCB"/>
    <w:rsid w:val="00FE6C0A"/>
    <w:rsid w:val="00FE7BE9"/>
    <w:rsid w:val="00FF4413"/>
    <w:rsid w:val="00FF452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4F0ACB"/>
  <w14:defaultImageDpi w14:val="300"/>
  <w15:docId w15:val="{F1512663-0F37-4FFA-A68A-82E4E3151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2B8"/>
  </w:style>
  <w:style w:type="paragraph" w:styleId="Ttulo1">
    <w:name w:val="heading 1"/>
    <w:basedOn w:val="Normal"/>
    <w:next w:val="Normal"/>
    <w:link w:val="Ttulo1Car"/>
    <w:uiPriority w:val="9"/>
    <w:qFormat/>
    <w:rsid w:val="0086039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ES" w:eastAsia="en-US"/>
    </w:rPr>
  </w:style>
  <w:style w:type="paragraph" w:styleId="Ttulo2">
    <w:name w:val="heading 2"/>
    <w:basedOn w:val="Normal"/>
    <w:link w:val="Ttulo2Car"/>
    <w:uiPriority w:val="9"/>
    <w:qFormat/>
    <w:rsid w:val="00F814A7"/>
    <w:pPr>
      <w:spacing w:before="100" w:beforeAutospacing="1" w:after="100" w:afterAutospacing="1"/>
      <w:outlineLvl w:val="1"/>
    </w:pPr>
    <w:rPr>
      <w:rFonts w:ascii="Times New Roman" w:eastAsia="Times New Roman" w:hAnsi="Times New Roman" w:cs="Times New Roman"/>
      <w:b/>
      <w:bCs/>
      <w:sz w:val="36"/>
      <w:szCs w:val="36"/>
      <w:lang w:val="es-AR" w:eastAsia="es-AR"/>
    </w:rPr>
  </w:style>
  <w:style w:type="paragraph" w:styleId="Ttulo3">
    <w:name w:val="heading 3"/>
    <w:basedOn w:val="Normal"/>
    <w:next w:val="Normal"/>
    <w:link w:val="Ttulo3Car"/>
    <w:uiPriority w:val="9"/>
    <w:semiHidden/>
    <w:unhideWhenUsed/>
    <w:qFormat/>
    <w:rsid w:val="00F814A7"/>
    <w:pPr>
      <w:keepNext/>
      <w:keepLines/>
      <w:spacing w:before="200"/>
      <w:outlineLvl w:val="2"/>
    </w:pPr>
    <w:rPr>
      <w:rFonts w:ascii="Calibri Light" w:eastAsia="MS Gothic" w:hAnsi="Calibri Light" w:cs="Times New Roman"/>
      <w:color w:val="1F4D78"/>
    </w:rPr>
  </w:style>
  <w:style w:type="paragraph" w:styleId="Ttulo4">
    <w:name w:val="heading 4"/>
    <w:basedOn w:val="Normal"/>
    <w:next w:val="Normal"/>
    <w:link w:val="Ttulo4Car"/>
    <w:uiPriority w:val="9"/>
    <w:semiHidden/>
    <w:unhideWhenUsed/>
    <w:qFormat/>
    <w:rsid w:val="00F814A7"/>
    <w:pPr>
      <w:keepNext/>
      <w:keepLines/>
      <w:spacing w:before="200"/>
      <w:outlineLvl w:val="3"/>
    </w:pPr>
    <w:rPr>
      <w:rFonts w:ascii="Calibri Light" w:eastAsia="MS Gothic" w:hAnsi="Calibri Light" w:cs="Times New Roman"/>
      <w:i/>
      <w:iCs/>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50D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450D2"/>
    <w:rPr>
      <w:rFonts w:ascii="Lucida Grande" w:hAnsi="Lucida Grande" w:cs="Lucida Grande"/>
      <w:sz w:val="18"/>
      <w:szCs w:val="18"/>
    </w:rPr>
  </w:style>
  <w:style w:type="character" w:customStyle="1" w:styleId="Ttulo2Car">
    <w:name w:val="Título 2 Car"/>
    <w:basedOn w:val="Fuentedeprrafopredeter"/>
    <w:link w:val="Ttulo2"/>
    <w:uiPriority w:val="9"/>
    <w:rsid w:val="00F814A7"/>
    <w:rPr>
      <w:rFonts w:ascii="Times New Roman" w:eastAsia="Times New Roman" w:hAnsi="Times New Roman" w:cs="Times New Roman"/>
      <w:b/>
      <w:bCs/>
      <w:sz w:val="36"/>
      <w:szCs w:val="36"/>
      <w:lang w:val="es-AR" w:eastAsia="es-AR"/>
    </w:rPr>
  </w:style>
  <w:style w:type="paragraph" w:customStyle="1" w:styleId="Ttulo31">
    <w:name w:val="Título 31"/>
    <w:basedOn w:val="Normal"/>
    <w:next w:val="Normal"/>
    <w:uiPriority w:val="9"/>
    <w:semiHidden/>
    <w:unhideWhenUsed/>
    <w:qFormat/>
    <w:rsid w:val="00F814A7"/>
    <w:pPr>
      <w:keepNext/>
      <w:keepLines/>
      <w:spacing w:before="40" w:line="259" w:lineRule="auto"/>
      <w:outlineLvl w:val="2"/>
    </w:pPr>
    <w:rPr>
      <w:rFonts w:ascii="Calibri Light" w:eastAsia="MS Gothic" w:hAnsi="Calibri Light" w:cs="Times New Roman"/>
      <w:color w:val="1F4D78"/>
      <w:lang w:val="es-AR" w:eastAsia="en-US"/>
    </w:rPr>
  </w:style>
  <w:style w:type="paragraph" w:customStyle="1" w:styleId="Ttulo41">
    <w:name w:val="Título 41"/>
    <w:basedOn w:val="Normal"/>
    <w:next w:val="Normal"/>
    <w:uiPriority w:val="9"/>
    <w:semiHidden/>
    <w:unhideWhenUsed/>
    <w:qFormat/>
    <w:rsid w:val="00F814A7"/>
    <w:pPr>
      <w:keepNext/>
      <w:keepLines/>
      <w:spacing w:before="40" w:line="259" w:lineRule="auto"/>
      <w:outlineLvl w:val="3"/>
    </w:pPr>
    <w:rPr>
      <w:rFonts w:ascii="Calibri Light" w:eastAsia="MS Gothic" w:hAnsi="Calibri Light" w:cs="Times New Roman"/>
      <w:i/>
      <w:iCs/>
      <w:color w:val="2E74B5"/>
      <w:sz w:val="22"/>
      <w:szCs w:val="22"/>
      <w:lang w:val="es-AR" w:eastAsia="en-US"/>
    </w:rPr>
  </w:style>
  <w:style w:type="numbering" w:customStyle="1" w:styleId="Sinlista1">
    <w:name w:val="Sin lista1"/>
    <w:next w:val="Sinlista"/>
    <w:uiPriority w:val="99"/>
    <w:semiHidden/>
    <w:unhideWhenUsed/>
    <w:rsid w:val="00F814A7"/>
  </w:style>
  <w:style w:type="paragraph" w:styleId="NormalWeb">
    <w:name w:val="Normal (Web)"/>
    <w:basedOn w:val="Normal"/>
    <w:uiPriority w:val="99"/>
    <w:unhideWhenUsed/>
    <w:rsid w:val="00F814A7"/>
    <w:pPr>
      <w:spacing w:before="100" w:beforeAutospacing="1" w:after="100" w:afterAutospacing="1"/>
    </w:pPr>
    <w:rPr>
      <w:rFonts w:ascii="Times New Roman" w:eastAsia="Times New Roman" w:hAnsi="Times New Roman" w:cs="Times New Roman"/>
      <w:lang w:val="es-AR" w:eastAsia="es-AR"/>
    </w:rPr>
  </w:style>
  <w:style w:type="character" w:styleId="Hipervnculo">
    <w:name w:val="Hyperlink"/>
    <w:basedOn w:val="Fuentedeprrafopredeter"/>
    <w:uiPriority w:val="99"/>
    <w:unhideWhenUsed/>
    <w:rsid w:val="00F814A7"/>
    <w:rPr>
      <w:color w:val="0000FF"/>
      <w:u w:val="single"/>
    </w:rPr>
  </w:style>
  <w:style w:type="character" w:styleId="Textoennegrita">
    <w:name w:val="Strong"/>
    <w:basedOn w:val="Fuentedeprrafopredeter"/>
    <w:uiPriority w:val="22"/>
    <w:qFormat/>
    <w:rsid w:val="00F814A7"/>
    <w:rPr>
      <w:b/>
      <w:bCs/>
    </w:rPr>
  </w:style>
  <w:style w:type="character" w:customStyle="1" w:styleId="Ttulo3Car">
    <w:name w:val="Título 3 Car"/>
    <w:basedOn w:val="Fuentedeprrafopredeter"/>
    <w:link w:val="Ttulo3"/>
    <w:uiPriority w:val="9"/>
    <w:semiHidden/>
    <w:rsid w:val="00F814A7"/>
    <w:rPr>
      <w:rFonts w:ascii="Calibri Light" w:eastAsia="MS Gothic" w:hAnsi="Calibri Light" w:cs="Times New Roman"/>
      <w:color w:val="1F4D78"/>
      <w:sz w:val="24"/>
      <w:szCs w:val="24"/>
    </w:rPr>
  </w:style>
  <w:style w:type="character" w:customStyle="1" w:styleId="Ttulo4Car">
    <w:name w:val="Título 4 Car"/>
    <w:basedOn w:val="Fuentedeprrafopredeter"/>
    <w:link w:val="Ttulo4"/>
    <w:uiPriority w:val="9"/>
    <w:semiHidden/>
    <w:rsid w:val="00F814A7"/>
    <w:rPr>
      <w:rFonts w:ascii="Calibri Light" w:eastAsia="MS Gothic" w:hAnsi="Calibri Light" w:cs="Times New Roman"/>
      <w:i/>
      <w:iCs/>
      <w:color w:val="2E74B5"/>
    </w:rPr>
  </w:style>
  <w:style w:type="paragraph" w:styleId="Prrafodelista">
    <w:name w:val="List Paragraph"/>
    <w:basedOn w:val="Normal"/>
    <w:uiPriority w:val="34"/>
    <w:qFormat/>
    <w:rsid w:val="00F814A7"/>
    <w:pPr>
      <w:spacing w:after="160" w:line="259" w:lineRule="auto"/>
      <w:ind w:left="720"/>
      <w:contextualSpacing/>
    </w:pPr>
    <w:rPr>
      <w:rFonts w:eastAsia="Calibri"/>
      <w:sz w:val="22"/>
      <w:szCs w:val="22"/>
      <w:lang w:val="es-AR" w:eastAsia="en-US"/>
    </w:rPr>
  </w:style>
  <w:style w:type="character" w:customStyle="1" w:styleId="Ttulo3Car1">
    <w:name w:val="Título 3 Car1"/>
    <w:basedOn w:val="Fuentedeprrafopredeter"/>
    <w:uiPriority w:val="9"/>
    <w:semiHidden/>
    <w:rsid w:val="00F814A7"/>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F814A7"/>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unhideWhenUsed/>
    <w:rsid w:val="00F814A7"/>
    <w:pPr>
      <w:tabs>
        <w:tab w:val="center" w:pos="4252"/>
        <w:tab w:val="right" w:pos="8504"/>
      </w:tabs>
    </w:pPr>
  </w:style>
  <w:style w:type="character" w:customStyle="1" w:styleId="EncabezadoCar">
    <w:name w:val="Encabezado Car"/>
    <w:basedOn w:val="Fuentedeprrafopredeter"/>
    <w:link w:val="Encabezado"/>
    <w:uiPriority w:val="99"/>
    <w:rsid w:val="00F814A7"/>
  </w:style>
  <w:style w:type="paragraph" w:styleId="Piedepgina">
    <w:name w:val="footer"/>
    <w:basedOn w:val="Normal"/>
    <w:link w:val="PiedepginaCar"/>
    <w:uiPriority w:val="99"/>
    <w:unhideWhenUsed/>
    <w:rsid w:val="00F814A7"/>
    <w:pPr>
      <w:tabs>
        <w:tab w:val="center" w:pos="4252"/>
        <w:tab w:val="right" w:pos="8504"/>
      </w:tabs>
    </w:pPr>
  </w:style>
  <w:style w:type="character" w:customStyle="1" w:styleId="PiedepginaCar">
    <w:name w:val="Pie de página Car"/>
    <w:basedOn w:val="Fuentedeprrafopredeter"/>
    <w:link w:val="Piedepgina"/>
    <w:uiPriority w:val="99"/>
    <w:rsid w:val="00F814A7"/>
  </w:style>
  <w:style w:type="character" w:styleId="Nmerodepgina">
    <w:name w:val="page number"/>
    <w:basedOn w:val="Fuentedeprrafopredeter"/>
    <w:uiPriority w:val="99"/>
    <w:semiHidden/>
    <w:unhideWhenUsed/>
    <w:rsid w:val="00266516"/>
  </w:style>
  <w:style w:type="character" w:customStyle="1" w:styleId="Ttulo1Car">
    <w:name w:val="Título 1 Car"/>
    <w:basedOn w:val="Fuentedeprrafopredeter"/>
    <w:link w:val="Ttulo1"/>
    <w:uiPriority w:val="9"/>
    <w:rsid w:val="0086039A"/>
    <w:rPr>
      <w:rFonts w:asciiTheme="majorHAnsi" w:eastAsiaTheme="majorEastAsia" w:hAnsiTheme="majorHAnsi" w:cstheme="majorBidi"/>
      <w:color w:val="365F91" w:themeColor="accent1" w:themeShade="BF"/>
      <w:sz w:val="32"/>
      <w:szCs w:val="32"/>
      <w:lang w:val="es-ES" w:eastAsia="en-US"/>
    </w:rPr>
  </w:style>
  <w:style w:type="paragraph" w:styleId="Sinespaciado">
    <w:name w:val="No Spacing"/>
    <w:uiPriority w:val="1"/>
    <w:qFormat/>
    <w:rsid w:val="0086039A"/>
    <w:rPr>
      <w:sz w:val="22"/>
      <w:szCs w:val="22"/>
      <w:lang w:val="es-ES" w:eastAsia="en-US"/>
    </w:rPr>
  </w:style>
  <w:style w:type="character" w:styleId="Refdecomentario">
    <w:name w:val="annotation reference"/>
    <w:basedOn w:val="Fuentedeprrafopredeter"/>
    <w:uiPriority w:val="99"/>
    <w:semiHidden/>
    <w:unhideWhenUsed/>
    <w:rsid w:val="0086039A"/>
    <w:rPr>
      <w:sz w:val="16"/>
      <w:szCs w:val="16"/>
    </w:rPr>
  </w:style>
  <w:style w:type="paragraph" w:styleId="Textocomentario">
    <w:name w:val="annotation text"/>
    <w:basedOn w:val="Normal"/>
    <w:link w:val="TextocomentarioCar"/>
    <w:uiPriority w:val="99"/>
    <w:semiHidden/>
    <w:unhideWhenUsed/>
    <w:rsid w:val="0086039A"/>
    <w:pPr>
      <w:spacing w:after="160"/>
    </w:pPr>
    <w:rPr>
      <w:sz w:val="20"/>
      <w:szCs w:val="20"/>
      <w:lang w:val="es-ES" w:eastAsia="en-US"/>
    </w:rPr>
  </w:style>
  <w:style w:type="character" w:customStyle="1" w:styleId="TextocomentarioCar">
    <w:name w:val="Texto comentario Car"/>
    <w:basedOn w:val="Fuentedeprrafopredeter"/>
    <w:link w:val="Textocomentario"/>
    <w:uiPriority w:val="99"/>
    <w:semiHidden/>
    <w:rsid w:val="0086039A"/>
    <w:rPr>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86039A"/>
    <w:rPr>
      <w:b/>
      <w:bCs/>
    </w:rPr>
  </w:style>
  <w:style w:type="character" w:customStyle="1" w:styleId="AsuntodelcomentarioCar">
    <w:name w:val="Asunto del comentario Car"/>
    <w:basedOn w:val="TextocomentarioCar"/>
    <w:link w:val="Asuntodelcomentario"/>
    <w:uiPriority w:val="99"/>
    <w:semiHidden/>
    <w:rsid w:val="0086039A"/>
    <w:rPr>
      <w:b/>
      <w:bCs/>
      <w:sz w:val="20"/>
      <w:szCs w:val="20"/>
      <w:lang w:val="es-ES" w:eastAsia="en-US"/>
    </w:rPr>
  </w:style>
  <w:style w:type="paragraph" w:customStyle="1" w:styleId="Fecha1">
    <w:name w:val="Fecha1"/>
    <w:basedOn w:val="Normal"/>
    <w:rsid w:val="00E85F15"/>
    <w:pPr>
      <w:spacing w:before="100" w:beforeAutospacing="1" w:after="100" w:afterAutospacing="1"/>
    </w:pPr>
    <w:rPr>
      <w:rFonts w:ascii="Times New Roman" w:eastAsia="Times New Roman" w:hAnsi="Times New Roman" w:cs="Times New Roman"/>
      <w:lang w:val="es-AR" w:eastAsia="es-AR"/>
    </w:rPr>
  </w:style>
  <w:style w:type="character" w:styleId="nfasissutil">
    <w:name w:val="Subtle Emphasis"/>
    <w:basedOn w:val="Fuentedeprrafopredeter"/>
    <w:uiPriority w:val="19"/>
    <w:qFormat/>
    <w:rsid w:val="00A1774A"/>
    <w:rPr>
      <w:i/>
      <w:iCs/>
      <w:color w:val="404040" w:themeColor="text1" w:themeTint="BF"/>
    </w:rPr>
  </w:style>
  <w:style w:type="character" w:styleId="nfasis">
    <w:name w:val="Emphasis"/>
    <w:basedOn w:val="Fuentedeprrafopredeter"/>
    <w:uiPriority w:val="20"/>
    <w:qFormat/>
    <w:rsid w:val="001A2C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7590">
      <w:bodyDiv w:val="1"/>
      <w:marLeft w:val="0"/>
      <w:marRight w:val="0"/>
      <w:marTop w:val="0"/>
      <w:marBottom w:val="0"/>
      <w:divBdr>
        <w:top w:val="none" w:sz="0" w:space="0" w:color="auto"/>
        <w:left w:val="none" w:sz="0" w:space="0" w:color="auto"/>
        <w:bottom w:val="none" w:sz="0" w:space="0" w:color="auto"/>
        <w:right w:val="none" w:sz="0" w:space="0" w:color="auto"/>
      </w:divBdr>
    </w:div>
    <w:div w:id="14236444">
      <w:bodyDiv w:val="1"/>
      <w:marLeft w:val="0"/>
      <w:marRight w:val="0"/>
      <w:marTop w:val="0"/>
      <w:marBottom w:val="0"/>
      <w:divBdr>
        <w:top w:val="none" w:sz="0" w:space="0" w:color="auto"/>
        <w:left w:val="none" w:sz="0" w:space="0" w:color="auto"/>
        <w:bottom w:val="none" w:sz="0" w:space="0" w:color="auto"/>
        <w:right w:val="none" w:sz="0" w:space="0" w:color="auto"/>
      </w:divBdr>
    </w:div>
    <w:div w:id="15740323">
      <w:bodyDiv w:val="1"/>
      <w:marLeft w:val="0"/>
      <w:marRight w:val="0"/>
      <w:marTop w:val="0"/>
      <w:marBottom w:val="0"/>
      <w:divBdr>
        <w:top w:val="none" w:sz="0" w:space="0" w:color="auto"/>
        <w:left w:val="none" w:sz="0" w:space="0" w:color="auto"/>
        <w:bottom w:val="none" w:sz="0" w:space="0" w:color="auto"/>
        <w:right w:val="none" w:sz="0" w:space="0" w:color="auto"/>
      </w:divBdr>
    </w:div>
    <w:div w:id="26104472">
      <w:bodyDiv w:val="1"/>
      <w:marLeft w:val="0"/>
      <w:marRight w:val="0"/>
      <w:marTop w:val="0"/>
      <w:marBottom w:val="0"/>
      <w:divBdr>
        <w:top w:val="none" w:sz="0" w:space="0" w:color="auto"/>
        <w:left w:val="none" w:sz="0" w:space="0" w:color="auto"/>
        <w:bottom w:val="none" w:sz="0" w:space="0" w:color="auto"/>
        <w:right w:val="none" w:sz="0" w:space="0" w:color="auto"/>
      </w:divBdr>
    </w:div>
    <w:div w:id="28073664">
      <w:bodyDiv w:val="1"/>
      <w:marLeft w:val="0"/>
      <w:marRight w:val="0"/>
      <w:marTop w:val="0"/>
      <w:marBottom w:val="0"/>
      <w:divBdr>
        <w:top w:val="none" w:sz="0" w:space="0" w:color="auto"/>
        <w:left w:val="none" w:sz="0" w:space="0" w:color="auto"/>
        <w:bottom w:val="none" w:sz="0" w:space="0" w:color="auto"/>
        <w:right w:val="none" w:sz="0" w:space="0" w:color="auto"/>
      </w:divBdr>
    </w:div>
    <w:div w:id="31656030">
      <w:bodyDiv w:val="1"/>
      <w:marLeft w:val="0"/>
      <w:marRight w:val="0"/>
      <w:marTop w:val="0"/>
      <w:marBottom w:val="0"/>
      <w:divBdr>
        <w:top w:val="none" w:sz="0" w:space="0" w:color="auto"/>
        <w:left w:val="none" w:sz="0" w:space="0" w:color="auto"/>
        <w:bottom w:val="none" w:sz="0" w:space="0" w:color="auto"/>
        <w:right w:val="none" w:sz="0" w:space="0" w:color="auto"/>
      </w:divBdr>
    </w:div>
    <w:div w:id="40449057">
      <w:bodyDiv w:val="1"/>
      <w:marLeft w:val="0"/>
      <w:marRight w:val="0"/>
      <w:marTop w:val="0"/>
      <w:marBottom w:val="0"/>
      <w:divBdr>
        <w:top w:val="none" w:sz="0" w:space="0" w:color="auto"/>
        <w:left w:val="none" w:sz="0" w:space="0" w:color="auto"/>
        <w:bottom w:val="none" w:sz="0" w:space="0" w:color="auto"/>
        <w:right w:val="none" w:sz="0" w:space="0" w:color="auto"/>
      </w:divBdr>
    </w:div>
    <w:div w:id="45614388">
      <w:bodyDiv w:val="1"/>
      <w:marLeft w:val="0"/>
      <w:marRight w:val="0"/>
      <w:marTop w:val="0"/>
      <w:marBottom w:val="0"/>
      <w:divBdr>
        <w:top w:val="none" w:sz="0" w:space="0" w:color="auto"/>
        <w:left w:val="none" w:sz="0" w:space="0" w:color="auto"/>
        <w:bottom w:val="none" w:sz="0" w:space="0" w:color="auto"/>
        <w:right w:val="none" w:sz="0" w:space="0" w:color="auto"/>
      </w:divBdr>
    </w:div>
    <w:div w:id="46803311">
      <w:bodyDiv w:val="1"/>
      <w:marLeft w:val="0"/>
      <w:marRight w:val="0"/>
      <w:marTop w:val="0"/>
      <w:marBottom w:val="0"/>
      <w:divBdr>
        <w:top w:val="none" w:sz="0" w:space="0" w:color="auto"/>
        <w:left w:val="none" w:sz="0" w:space="0" w:color="auto"/>
        <w:bottom w:val="none" w:sz="0" w:space="0" w:color="auto"/>
        <w:right w:val="none" w:sz="0" w:space="0" w:color="auto"/>
      </w:divBdr>
    </w:div>
    <w:div w:id="46955924">
      <w:bodyDiv w:val="1"/>
      <w:marLeft w:val="0"/>
      <w:marRight w:val="0"/>
      <w:marTop w:val="0"/>
      <w:marBottom w:val="0"/>
      <w:divBdr>
        <w:top w:val="none" w:sz="0" w:space="0" w:color="auto"/>
        <w:left w:val="none" w:sz="0" w:space="0" w:color="auto"/>
        <w:bottom w:val="none" w:sz="0" w:space="0" w:color="auto"/>
        <w:right w:val="none" w:sz="0" w:space="0" w:color="auto"/>
      </w:divBdr>
    </w:div>
    <w:div w:id="46996956">
      <w:bodyDiv w:val="1"/>
      <w:marLeft w:val="0"/>
      <w:marRight w:val="0"/>
      <w:marTop w:val="0"/>
      <w:marBottom w:val="0"/>
      <w:divBdr>
        <w:top w:val="none" w:sz="0" w:space="0" w:color="auto"/>
        <w:left w:val="none" w:sz="0" w:space="0" w:color="auto"/>
        <w:bottom w:val="none" w:sz="0" w:space="0" w:color="auto"/>
        <w:right w:val="none" w:sz="0" w:space="0" w:color="auto"/>
      </w:divBdr>
    </w:div>
    <w:div w:id="54742260">
      <w:bodyDiv w:val="1"/>
      <w:marLeft w:val="0"/>
      <w:marRight w:val="0"/>
      <w:marTop w:val="0"/>
      <w:marBottom w:val="0"/>
      <w:divBdr>
        <w:top w:val="none" w:sz="0" w:space="0" w:color="auto"/>
        <w:left w:val="none" w:sz="0" w:space="0" w:color="auto"/>
        <w:bottom w:val="none" w:sz="0" w:space="0" w:color="auto"/>
        <w:right w:val="none" w:sz="0" w:space="0" w:color="auto"/>
      </w:divBdr>
    </w:div>
    <w:div w:id="63139296">
      <w:bodyDiv w:val="1"/>
      <w:marLeft w:val="0"/>
      <w:marRight w:val="0"/>
      <w:marTop w:val="0"/>
      <w:marBottom w:val="0"/>
      <w:divBdr>
        <w:top w:val="none" w:sz="0" w:space="0" w:color="auto"/>
        <w:left w:val="none" w:sz="0" w:space="0" w:color="auto"/>
        <w:bottom w:val="none" w:sz="0" w:space="0" w:color="auto"/>
        <w:right w:val="none" w:sz="0" w:space="0" w:color="auto"/>
      </w:divBdr>
    </w:div>
    <w:div w:id="72629963">
      <w:bodyDiv w:val="1"/>
      <w:marLeft w:val="0"/>
      <w:marRight w:val="0"/>
      <w:marTop w:val="0"/>
      <w:marBottom w:val="0"/>
      <w:divBdr>
        <w:top w:val="none" w:sz="0" w:space="0" w:color="auto"/>
        <w:left w:val="none" w:sz="0" w:space="0" w:color="auto"/>
        <w:bottom w:val="none" w:sz="0" w:space="0" w:color="auto"/>
        <w:right w:val="none" w:sz="0" w:space="0" w:color="auto"/>
      </w:divBdr>
    </w:div>
    <w:div w:id="80418695">
      <w:bodyDiv w:val="1"/>
      <w:marLeft w:val="0"/>
      <w:marRight w:val="0"/>
      <w:marTop w:val="0"/>
      <w:marBottom w:val="0"/>
      <w:divBdr>
        <w:top w:val="none" w:sz="0" w:space="0" w:color="auto"/>
        <w:left w:val="none" w:sz="0" w:space="0" w:color="auto"/>
        <w:bottom w:val="none" w:sz="0" w:space="0" w:color="auto"/>
        <w:right w:val="none" w:sz="0" w:space="0" w:color="auto"/>
      </w:divBdr>
    </w:div>
    <w:div w:id="81803573">
      <w:bodyDiv w:val="1"/>
      <w:marLeft w:val="0"/>
      <w:marRight w:val="0"/>
      <w:marTop w:val="0"/>
      <w:marBottom w:val="0"/>
      <w:divBdr>
        <w:top w:val="none" w:sz="0" w:space="0" w:color="auto"/>
        <w:left w:val="none" w:sz="0" w:space="0" w:color="auto"/>
        <w:bottom w:val="none" w:sz="0" w:space="0" w:color="auto"/>
        <w:right w:val="none" w:sz="0" w:space="0" w:color="auto"/>
      </w:divBdr>
    </w:div>
    <w:div w:id="84112830">
      <w:bodyDiv w:val="1"/>
      <w:marLeft w:val="0"/>
      <w:marRight w:val="0"/>
      <w:marTop w:val="0"/>
      <w:marBottom w:val="0"/>
      <w:divBdr>
        <w:top w:val="none" w:sz="0" w:space="0" w:color="auto"/>
        <w:left w:val="none" w:sz="0" w:space="0" w:color="auto"/>
        <w:bottom w:val="none" w:sz="0" w:space="0" w:color="auto"/>
        <w:right w:val="none" w:sz="0" w:space="0" w:color="auto"/>
      </w:divBdr>
    </w:div>
    <w:div w:id="86537074">
      <w:bodyDiv w:val="1"/>
      <w:marLeft w:val="0"/>
      <w:marRight w:val="0"/>
      <w:marTop w:val="0"/>
      <w:marBottom w:val="0"/>
      <w:divBdr>
        <w:top w:val="none" w:sz="0" w:space="0" w:color="auto"/>
        <w:left w:val="none" w:sz="0" w:space="0" w:color="auto"/>
        <w:bottom w:val="none" w:sz="0" w:space="0" w:color="auto"/>
        <w:right w:val="none" w:sz="0" w:space="0" w:color="auto"/>
      </w:divBdr>
    </w:div>
    <w:div w:id="96223334">
      <w:bodyDiv w:val="1"/>
      <w:marLeft w:val="0"/>
      <w:marRight w:val="0"/>
      <w:marTop w:val="0"/>
      <w:marBottom w:val="0"/>
      <w:divBdr>
        <w:top w:val="none" w:sz="0" w:space="0" w:color="auto"/>
        <w:left w:val="none" w:sz="0" w:space="0" w:color="auto"/>
        <w:bottom w:val="none" w:sz="0" w:space="0" w:color="auto"/>
        <w:right w:val="none" w:sz="0" w:space="0" w:color="auto"/>
      </w:divBdr>
    </w:div>
    <w:div w:id="96293678">
      <w:bodyDiv w:val="1"/>
      <w:marLeft w:val="0"/>
      <w:marRight w:val="0"/>
      <w:marTop w:val="0"/>
      <w:marBottom w:val="0"/>
      <w:divBdr>
        <w:top w:val="none" w:sz="0" w:space="0" w:color="auto"/>
        <w:left w:val="none" w:sz="0" w:space="0" w:color="auto"/>
        <w:bottom w:val="none" w:sz="0" w:space="0" w:color="auto"/>
        <w:right w:val="none" w:sz="0" w:space="0" w:color="auto"/>
      </w:divBdr>
    </w:div>
    <w:div w:id="108091489">
      <w:bodyDiv w:val="1"/>
      <w:marLeft w:val="0"/>
      <w:marRight w:val="0"/>
      <w:marTop w:val="0"/>
      <w:marBottom w:val="0"/>
      <w:divBdr>
        <w:top w:val="none" w:sz="0" w:space="0" w:color="auto"/>
        <w:left w:val="none" w:sz="0" w:space="0" w:color="auto"/>
        <w:bottom w:val="none" w:sz="0" w:space="0" w:color="auto"/>
        <w:right w:val="none" w:sz="0" w:space="0" w:color="auto"/>
      </w:divBdr>
    </w:div>
    <w:div w:id="113981863">
      <w:bodyDiv w:val="1"/>
      <w:marLeft w:val="0"/>
      <w:marRight w:val="0"/>
      <w:marTop w:val="0"/>
      <w:marBottom w:val="0"/>
      <w:divBdr>
        <w:top w:val="none" w:sz="0" w:space="0" w:color="auto"/>
        <w:left w:val="none" w:sz="0" w:space="0" w:color="auto"/>
        <w:bottom w:val="none" w:sz="0" w:space="0" w:color="auto"/>
        <w:right w:val="none" w:sz="0" w:space="0" w:color="auto"/>
      </w:divBdr>
    </w:div>
    <w:div w:id="116679539">
      <w:bodyDiv w:val="1"/>
      <w:marLeft w:val="0"/>
      <w:marRight w:val="0"/>
      <w:marTop w:val="0"/>
      <w:marBottom w:val="0"/>
      <w:divBdr>
        <w:top w:val="none" w:sz="0" w:space="0" w:color="auto"/>
        <w:left w:val="none" w:sz="0" w:space="0" w:color="auto"/>
        <w:bottom w:val="none" w:sz="0" w:space="0" w:color="auto"/>
        <w:right w:val="none" w:sz="0" w:space="0" w:color="auto"/>
      </w:divBdr>
    </w:div>
    <w:div w:id="125860058">
      <w:bodyDiv w:val="1"/>
      <w:marLeft w:val="0"/>
      <w:marRight w:val="0"/>
      <w:marTop w:val="0"/>
      <w:marBottom w:val="0"/>
      <w:divBdr>
        <w:top w:val="none" w:sz="0" w:space="0" w:color="auto"/>
        <w:left w:val="none" w:sz="0" w:space="0" w:color="auto"/>
        <w:bottom w:val="none" w:sz="0" w:space="0" w:color="auto"/>
        <w:right w:val="none" w:sz="0" w:space="0" w:color="auto"/>
      </w:divBdr>
    </w:div>
    <w:div w:id="127552977">
      <w:bodyDiv w:val="1"/>
      <w:marLeft w:val="0"/>
      <w:marRight w:val="0"/>
      <w:marTop w:val="0"/>
      <w:marBottom w:val="0"/>
      <w:divBdr>
        <w:top w:val="none" w:sz="0" w:space="0" w:color="auto"/>
        <w:left w:val="none" w:sz="0" w:space="0" w:color="auto"/>
        <w:bottom w:val="none" w:sz="0" w:space="0" w:color="auto"/>
        <w:right w:val="none" w:sz="0" w:space="0" w:color="auto"/>
      </w:divBdr>
    </w:div>
    <w:div w:id="134613988">
      <w:bodyDiv w:val="1"/>
      <w:marLeft w:val="0"/>
      <w:marRight w:val="0"/>
      <w:marTop w:val="0"/>
      <w:marBottom w:val="0"/>
      <w:divBdr>
        <w:top w:val="none" w:sz="0" w:space="0" w:color="auto"/>
        <w:left w:val="none" w:sz="0" w:space="0" w:color="auto"/>
        <w:bottom w:val="none" w:sz="0" w:space="0" w:color="auto"/>
        <w:right w:val="none" w:sz="0" w:space="0" w:color="auto"/>
      </w:divBdr>
    </w:div>
    <w:div w:id="134837524">
      <w:bodyDiv w:val="1"/>
      <w:marLeft w:val="0"/>
      <w:marRight w:val="0"/>
      <w:marTop w:val="0"/>
      <w:marBottom w:val="0"/>
      <w:divBdr>
        <w:top w:val="none" w:sz="0" w:space="0" w:color="auto"/>
        <w:left w:val="none" w:sz="0" w:space="0" w:color="auto"/>
        <w:bottom w:val="none" w:sz="0" w:space="0" w:color="auto"/>
        <w:right w:val="none" w:sz="0" w:space="0" w:color="auto"/>
      </w:divBdr>
    </w:div>
    <w:div w:id="135218700">
      <w:bodyDiv w:val="1"/>
      <w:marLeft w:val="0"/>
      <w:marRight w:val="0"/>
      <w:marTop w:val="0"/>
      <w:marBottom w:val="0"/>
      <w:divBdr>
        <w:top w:val="none" w:sz="0" w:space="0" w:color="auto"/>
        <w:left w:val="none" w:sz="0" w:space="0" w:color="auto"/>
        <w:bottom w:val="none" w:sz="0" w:space="0" w:color="auto"/>
        <w:right w:val="none" w:sz="0" w:space="0" w:color="auto"/>
      </w:divBdr>
    </w:div>
    <w:div w:id="137454800">
      <w:bodyDiv w:val="1"/>
      <w:marLeft w:val="0"/>
      <w:marRight w:val="0"/>
      <w:marTop w:val="0"/>
      <w:marBottom w:val="0"/>
      <w:divBdr>
        <w:top w:val="none" w:sz="0" w:space="0" w:color="auto"/>
        <w:left w:val="none" w:sz="0" w:space="0" w:color="auto"/>
        <w:bottom w:val="none" w:sz="0" w:space="0" w:color="auto"/>
        <w:right w:val="none" w:sz="0" w:space="0" w:color="auto"/>
      </w:divBdr>
    </w:div>
    <w:div w:id="137846050">
      <w:bodyDiv w:val="1"/>
      <w:marLeft w:val="0"/>
      <w:marRight w:val="0"/>
      <w:marTop w:val="0"/>
      <w:marBottom w:val="0"/>
      <w:divBdr>
        <w:top w:val="none" w:sz="0" w:space="0" w:color="auto"/>
        <w:left w:val="none" w:sz="0" w:space="0" w:color="auto"/>
        <w:bottom w:val="none" w:sz="0" w:space="0" w:color="auto"/>
        <w:right w:val="none" w:sz="0" w:space="0" w:color="auto"/>
      </w:divBdr>
    </w:div>
    <w:div w:id="139545122">
      <w:bodyDiv w:val="1"/>
      <w:marLeft w:val="0"/>
      <w:marRight w:val="0"/>
      <w:marTop w:val="0"/>
      <w:marBottom w:val="0"/>
      <w:divBdr>
        <w:top w:val="none" w:sz="0" w:space="0" w:color="auto"/>
        <w:left w:val="none" w:sz="0" w:space="0" w:color="auto"/>
        <w:bottom w:val="none" w:sz="0" w:space="0" w:color="auto"/>
        <w:right w:val="none" w:sz="0" w:space="0" w:color="auto"/>
      </w:divBdr>
    </w:div>
    <w:div w:id="139659385">
      <w:bodyDiv w:val="1"/>
      <w:marLeft w:val="0"/>
      <w:marRight w:val="0"/>
      <w:marTop w:val="0"/>
      <w:marBottom w:val="0"/>
      <w:divBdr>
        <w:top w:val="none" w:sz="0" w:space="0" w:color="auto"/>
        <w:left w:val="none" w:sz="0" w:space="0" w:color="auto"/>
        <w:bottom w:val="none" w:sz="0" w:space="0" w:color="auto"/>
        <w:right w:val="none" w:sz="0" w:space="0" w:color="auto"/>
      </w:divBdr>
    </w:div>
    <w:div w:id="142815352">
      <w:bodyDiv w:val="1"/>
      <w:marLeft w:val="0"/>
      <w:marRight w:val="0"/>
      <w:marTop w:val="0"/>
      <w:marBottom w:val="0"/>
      <w:divBdr>
        <w:top w:val="none" w:sz="0" w:space="0" w:color="auto"/>
        <w:left w:val="none" w:sz="0" w:space="0" w:color="auto"/>
        <w:bottom w:val="none" w:sz="0" w:space="0" w:color="auto"/>
        <w:right w:val="none" w:sz="0" w:space="0" w:color="auto"/>
      </w:divBdr>
    </w:div>
    <w:div w:id="148862063">
      <w:bodyDiv w:val="1"/>
      <w:marLeft w:val="0"/>
      <w:marRight w:val="0"/>
      <w:marTop w:val="0"/>
      <w:marBottom w:val="0"/>
      <w:divBdr>
        <w:top w:val="none" w:sz="0" w:space="0" w:color="auto"/>
        <w:left w:val="none" w:sz="0" w:space="0" w:color="auto"/>
        <w:bottom w:val="none" w:sz="0" w:space="0" w:color="auto"/>
        <w:right w:val="none" w:sz="0" w:space="0" w:color="auto"/>
      </w:divBdr>
    </w:div>
    <w:div w:id="170800818">
      <w:bodyDiv w:val="1"/>
      <w:marLeft w:val="0"/>
      <w:marRight w:val="0"/>
      <w:marTop w:val="0"/>
      <w:marBottom w:val="0"/>
      <w:divBdr>
        <w:top w:val="none" w:sz="0" w:space="0" w:color="auto"/>
        <w:left w:val="none" w:sz="0" w:space="0" w:color="auto"/>
        <w:bottom w:val="none" w:sz="0" w:space="0" w:color="auto"/>
        <w:right w:val="none" w:sz="0" w:space="0" w:color="auto"/>
      </w:divBdr>
    </w:div>
    <w:div w:id="179509497">
      <w:bodyDiv w:val="1"/>
      <w:marLeft w:val="0"/>
      <w:marRight w:val="0"/>
      <w:marTop w:val="0"/>
      <w:marBottom w:val="0"/>
      <w:divBdr>
        <w:top w:val="none" w:sz="0" w:space="0" w:color="auto"/>
        <w:left w:val="none" w:sz="0" w:space="0" w:color="auto"/>
        <w:bottom w:val="none" w:sz="0" w:space="0" w:color="auto"/>
        <w:right w:val="none" w:sz="0" w:space="0" w:color="auto"/>
      </w:divBdr>
    </w:div>
    <w:div w:id="185875972">
      <w:bodyDiv w:val="1"/>
      <w:marLeft w:val="0"/>
      <w:marRight w:val="0"/>
      <w:marTop w:val="0"/>
      <w:marBottom w:val="0"/>
      <w:divBdr>
        <w:top w:val="none" w:sz="0" w:space="0" w:color="auto"/>
        <w:left w:val="none" w:sz="0" w:space="0" w:color="auto"/>
        <w:bottom w:val="none" w:sz="0" w:space="0" w:color="auto"/>
        <w:right w:val="none" w:sz="0" w:space="0" w:color="auto"/>
      </w:divBdr>
    </w:div>
    <w:div w:id="187715502">
      <w:bodyDiv w:val="1"/>
      <w:marLeft w:val="0"/>
      <w:marRight w:val="0"/>
      <w:marTop w:val="0"/>
      <w:marBottom w:val="0"/>
      <w:divBdr>
        <w:top w:val="none" w:sz="0" w:space="0" w:color="auto"/>
        <w:left w:val="none" w:sz="0" w:space="0" w:color="auto"/>
        <w:bottom w:val="none" w:sz="0" w:space="0" w:color="auto"/>
        <w:right w:val="none" w:sz="0" w:space="0" w:color="auto"/>
      </w:divBdr>
    </w:div>
    <w:div w:id="189690570">
      <w:bodyDiv w:val="1"/>
      <w:marLeft w:val="0"/>
      <w:marRight w:val="0"/>
      <w:marTop w:val="0"/>
      <w:marBottom w:val="0"/>
      <w:divBdr>
        <w:top w:val="none" w:sz="0" w:space="0" w:color="auto"/>
        <w:left w:val="none" w:sz="0" w:space="0" w:color="auto"/>
        <w:bottom w:val="none" w:sz="0" w:space="0" w:color="auto"/>
        <w:right w:val="none" w:sz="0" w:space="0" w:color="auto"/>
      </w:divBdr>
    </w:div>
    <w:div w:id="197015863">
      <w:bodyDiv w:val="1"/>
      <w:marLeft w:val="0"/>
      <w:marRight w:val="0"/>
      <w:marTop w:val="0"/>
      <w:marBottom w:val="0"/>
      <w:divBdr>
        <w:top w:val="none" w:sz="0" w:space="0" w:color="auto"/>
        <w:left w:val="none" w:sz="0" w:space="0" w:color="auto"/>
        <w:bottom w:val="none" w:sz="0" w:space="0" w:color="auto"/>
        <w:right w:val="none" w:sz="0" w:space="0" w:color="auto"/>
      </w:divBdr>
    </w:div>
    <w:div w:id="200632282">
      <w:bodyDiv w:val="1"/>
      <w:marLeft w:val="0"/>
      <w:marRight w:val="0"/>
      <w:marTop w:val="0"/>
      <w:marBottom w:val="0"/>
      <w:divBdr>
        <w:top w:val="none" w:sz="0" w:space="0" w:color="auto"/>
        <w:left w:val="none" w:sz="0" w:space="0" w:color="auto"/>
        <w:bottom w:val="none" w:sz="0" w:space="0" w:color="auto"/>
        <w:right w:val="none" w:sz="0" w:space="0" w:color="auto"/>
      </w:divBdr>
    </w:div>
    <w:div w:id="203059981">
      <w:bodyDiv w:val="1"/>
      <w:marLeft w:val="0"/>
      <w:marRight w:val="0"/>
      <w:marTop w:val="0"/>
      <w:marBottom w:val="0"/>
      <w:divBdr>
        <w:top w:val="none" w:sz="0" w:space="0" w:color="auto"/>
        <w:left w:val="none" w:sz="0" w:space="0" w:color="auto"/>
        <w:bottom w:val="none" w:sz="0" w:space="0" w:color="auto"/>
        <w:right w:val="none" w:sz="0" w:space="0" w:color="auto"/>
      </w:divBdr>
    </w:div>
    <w:div w:id="204024946">
      <w:bodyDiv w:val="1"/>
      <w:marLeft w:val="0"/>
      <w:marRight w:val="0"/>
      <w:marTop w:val="0"/>
      <w:marBottom w:val="0"/>
      <w:divBdr>
        <w:top w:val="none" w:sz="0" w:space="0" w:color="auto"/>
        <w:left w:val="none" w:sz="0" w:space="0" w:color="auto"/>
        <w:bottom w:val="none" w:sz="0" w:space="0" w:color="auto"/>
        <w:right w:val="none" w:sz="0" w:space="0" w:color="auto"/>
      </w:divBdr>
    </w:div>
    <w:div w:id="205027868">
      <w:bodyDiv w:val="1"/>
      <w:marLeft w:val="0"/>
      <w:marRight w:val="0"/>
      <w:marTop w:val="0"/>
      <w:marBottom w:val="0"/>
      <w:divBdr>
        <w:top w:val="none" w:sz="0" w:space="0" w:color="auto"/>
        <w:left w:val="none" w:sz="0" w:space="0" w:color="auto"/>
        <w:bottom w:val="none" w:sz="0" w:space="0" w:color="auto"/>
        <w:right w:val="none" w:sz="0" w:space="0" w:color="auto"/>
      </w:divBdr>
    </w:div>
    <w:div w:id="208226842">
      <w:bodyDiv w:val="1"/>
      <w:marLeft w:val="0"/>
      <w:marRight w:val="0"/>
      <w:marTop w:val="0"/>
      <w:marBottom w:val="0"/>
      <w:divBdr>
        <w:top w:val="none" w:sz="0" w:space="0" w:color="auto"/>
        <w:left w:val="none" w:sz="0" w:space="0" w:color="auto"/>
        <w:bottom w:val="none" w:sz="0" w:space="0" w:color="auto"/>
        <w:right w:val="none" w:sz="0" w:space="0" w:color="auto"/>
      </w:divBdr>
    </w:div>
    <w:div w:id="212549629">
      <w:bodyDiv w:val="1"/>
      <w:marLeft w:val="0"/>
      <w:marRight w:val="0"/>
      <w:marTop w:val="0"/>
      <w:marBottom w:val="0"/>
      <w:divBdr>
        <w:top w:val="none" w:sz="0" w:space="0" w:color="auto"/>
        <w:left w:val="none" w:sz="0" w:space="0" w:color="auto"/>
        <w:bottom w:val="none" w:sz="0" w:space="0" w:color="auto"/>
        <w:right w:val="none" w:sz="0" w:space="0" w:color="auto"/>
      </w:divBdr>
    </w:div>
    <w:div w:id="219678680">
      <w:bodyDiv w:val="1"/>
      <w:marLeft w:val="0"/>
      <w:marRight w:val="0"/>
      <w:marTop w:val="0"/>
      <w:marBottom w:val="0"/>
      <w:divBdr>
        <w:top w:val="none" w:sz="0" w:space="0" w:color="auto"/>
        <w:left w:val="none" w:sz="0" w:space="0" w:color="auto"/>
        <w:bottom w:val="none" w:sz="0" w:space="0" w:color="auto"/>
        <w:right w:val="none" w:sz="0" w:space="0" w:color="auto"/>
      </w:divBdr>
    </w:div>
    <w:div w:id="220940923">
      <w:bodyDiv w:val="1"/>
      <w:marLeft w:val="0"/>
      <w:marRight w:val="0"/>
      <w:marTop w:val="0"/>
      <w:marBottom w:val="0"/>
      <w:divBdr>
        <w:top w:val="none" w:sz="0" w:space="0" w:color="auto"/>
        <w:left w:val="none" w:sz="0" w:space="0" w:color="auto"/>
        <w:bottom w:val="none" w:sz="0" w:space="0" w:color="auto"/>
        <w:right w:val="none" w:sz="0" w:space="0" w:color="auto"/>
      </w:divBdr>
    </w:div>
    <w:div w:id="223027770">
      <w:bodyDiv w:val="1"/>
      <w:marLeft w:val="0"/>
      <w:marRight w:val="0"/>
      <w:marTop w:val="0"/>
      <w:marBottom w:val="0"/>
      <w:divBdr>
        <w:top w:val="none" w:sz="0" w:space="0" w:color="auto"/>
        <w:left w:val="none" w:sz="0" w:space="0" w:color="auto"/>
        <w:bottom w:val="none" w:sz="0" w:space="0" w:color="auto"/>
        <w:right w:val="none" w:sz="0" w:space="0" w:color="auto"/>
      </w:divBdr>
    </w:div>
    <w:div w:id="224611524">
      <w:bodyDiv w:val="1"/>
      <w:marLeft w:val="0"/>
      <w:marRight w:val="0"/>
      <w:marTop w:val="0"/>
      <w:marBottom w:val="0"/>
      <w:divBdr>
        <w:top w:val="none" w:sz="0" w:space="0" w:color="auto"/>
        <w:left w:val="none" w:sz="0" w:space="0" w:color="auto"/>
        <w:bottom w:val="none" w:sz="0" w:space="0" w:color="auto"/>
        <w:right w:val="none" w:sz="0" w:space="0" w:color="auto"/>
      </w:divBdr>
    </w:div>
    <w:div w:id="227620935">
      <w:bodyDiv w:val="1"/>
      <w:marLeft w:val="0"/>
      <w:marRight w:val="0"/>
      <w:marTop w:val="0"/>
      <w:marBottom w:val="0"/>
      <w:divBdr>
        <w:top w:val="none" w:sz="0" w:space="0" w:color="auto"/>
        <w:left w:val="none" w:sz="0" w:space="0" w:color="auto"/>
        <w:bottom w:val="none" w:sz="0" w:space="0" w:color="auto"/>
        <w:right w:val="none" w:sz="0" w:space="0" w:color="auto"/>
      </w:divBdr>
    </w:div>
    <w:div w:id="230778178">
      <w:bodyDiv w:val="1"/>
      <w:marLeft w:val="0"/>
      <w:marRight w:val="0"/>
      <w:marTop w:val="0"/>
      <w:marBottom w:val="0"/>
      <w:divBdr>
        <w:top w:val="none" w:sz="0" w:space="0" w:color="auto"/>
        <w:left w:val="none" w:sz="0" w:space="0" w:color="auto"/>
        <w:bottom w:val="none" w:sz="0" w:space="0" w:color="auto"/>
        <w:right w:val="none" w:sz="0" w:space="0" w:color="auto"/>
      </w:divBdr>
    </w:div>
    <w:div w:id="231307237">
      <w:bodyDiv w:val="1"/>
      <w:marLeft w:val="0"/>
      <w:marRight w:val="0"/>
      <w:marTop w:val="0"/>
      <w:marBottom w:val="0"/>
      <w:divBdr>
        <w:top w:val="none" w:sz="0" w:space="0" w:color="auto"/>
        <w:left w:val="none" w:sz="0" w:space="0" w:color="auto"/>
        <w:bottom w:val="none" w:sz="0" w:space="0" w:color="auto"/>
        <w:right w:val="none" w:sz="0" w:space="0" w:color="auto"/>
      </w:divBdr>
    </w:div>
    <w:div w:id="233853359">
      <w:bodyDiv w:val="1"/>
      <w:marLeft w:val="0"/>
      <w:marRight w:val="0"/>
      <w:marTop w:val="0"/>
      <w:marBottom w:val="0"/>
      <w:divBdr>
        <w:top w:val="none" w:sz="0" w:space="0" w:color="auto"/>
        <w:left w:val="none" w:sz="0" w:space="0" w:color="auto"/>
        <w:bottom w:val="none" w:sz="0" w:space="0" w:color="auto"/>
        <w:right w:val="none" w:sz="0" w:space="0" w:color="auto"/>
      </w:divBdr>
    </w:div>
    <w:div w:id="240334559">
      <w:bodyDiv w:val="1"/>
      <w:marLeft w:val="0"/>
      <w:marRight w:val="0"/>
      <w:marTop w:val="0"/>
      <w:marBottom w:val="0"/>
      <w:divBdr>
        <w:top w:val="none" w:sz="0" w:space="0" w:color="auto"/>
        <w:left w:val="none" w:sz="0" w:space="0" w:color="auto"/>
        <w:bottom w:val="none" w:sz="0" w:space="0" w:color="auto"/>
        <w:right w:val="none" w:sz="0" w:space="0" w:color="auto"/>
      </w:divBdr>
    </w:div>
    <w:div w:id="244992449">
      <w:bodyDiv w:val="1"/>
      <w:marLeft w:val="0"/>
      <w:marRight w:val="0"/>
      <w:marTop w:val="0"/>
      <w:marBottom w:val="0"/>
      <w:divBdr>
        <w:top w:val="none" w:sz="0" w:space="0" w:color="auto"/>
        <w:left w:val="none" w:sz="0" w:space="0" w:color="auto"/>
        <w:bottom w:val="none" w:sz="0" w:space="0" w:color="auto"/>
        <w:right w:val="none" w:sz="0" w:space="0" w:color="auto"/>
      </w:divBdr>
    </w:div>
    <w:div w:id="246810077">
      <w:bodyDiv w:val="1"/>
      <w:marLeft w:val="0"/>
      <w:marRight w:val="0"/>
      <w:marTop w:val="0"/>
      <w:marBottom w:val="0"/>
      <w:divBdr>
        <w:top w:val="none" w:sz="0" w:space="0" w:color="auto"/>
        <w:left w:val="none" w:sz="0" w:space="0" w:color="auto"/>
        <w:bottom w:val="none" w:sz="0" w:space="0" w:color="auto"/>
        <w:right w:val="none" w:sz="0" w:space="0" w:color="auto"/>
      </w:divBdr>
    </w:div>
    <w:div w:id="247618005">
      <w:bodyDiv w:val="1"/>
      <w:marLeft w:val="0"/>
      <w:marRight w:val="0"/>
      <w:marTop w:val="0"/>
      <w:marBottom w:val="0"/>
      <w:divBdr>
        <w:top w:val="none" w:sz="0" w:space="0" w:color="auto"/>
        <w:left w:val="none" w:sz="0" w:space="0" w:color="auto"/>
        <w:bottom w:val="none" w:sz="0" w:space="0" w:color="auto"/>
        <w:right w:val="none" w:sz="0" w:space="0" w:color="auto"/>
      </w:divBdr>
    </w:div>
    <w:div w:id="260459368">
      <w:bodyDiv w:val="1"/>
      <w:marLeft w:val="0"/>
      <w:marRight w:val="0"/>
      <w:marTop w:val="0"/>
      <w:marBottom w:val="0"/>
      <w:divBdr>
        <w:top w:val="none" w:sz="0" w:space="0" w:color="auto"/>
        <w:left w:val="none" w:sz="0" w:space="0" w:color="auto"/>
        <w:bottom w:val="none" w:sz="0" w:space="0" w:color="auto"/>
        <w:right w:val="none" w:sz="0" w:space="0" w:color="auto"/>
      </w:divBdr>
    </w:div>
    <w:div w:id="263729190">
      <w:bodyDiv w:val="1"/>
      <w:marLeft w:val="0"/>
      <w:marRight w:val="0"/>
      <w:marTop w:val="0"/>
      <w:marBottom w:val="0"/>
      <w:divBdr>
        <w:top w:val="none" w:sz="0" w:space="0" w:color="auto"/>
        <w:left w:val="none" w:sz="0" w:space="0" w:color="auto"/>
        <w:bottom w:val="none" w:sz="0" w:space="0" w:color="auto"/>
        <w:right w:val="none" w:sz="0" w:space="0" w:color="auto"/>
      </w:divBdr>
    </w:div>
    <w:div w:id="265618700">
      <w:bodyDiv w:val="1"/>
      <w:marLeft w:val="0"/>
      <w:marRight w:val="0"/>
      <w:marTop w:val="0"/>
      <w:marBottom w:val="0"/>
      <w:divBdr>
        <w:top w:val="none" w:sz="0" w:space="0" w:color="auto"/>
        <w:left w:val="none" w:sz="0" w:space="0" w:color="auto"/>
        <w:bottom w:val="none" w:sz="0" w:space="0" w:color="auto"/>
        <w:right w:val="none" w:sz="0" w:space="0" w:color="auto"/>
      </w:divBdr>
    </w:div>
    <w:div w:id="265695052">
      <w:bodyDiv w:val="1"/>
      <w:marLeft w:val="0"/>
      <w:marRight w:val="0"/>
      <w:marTop w:val="0"/>
      <w:marBottom w:val="0"/>
      <w:divBdr>
        <w:top w:val="none" w:sz="0" w:space="0" w:color="auto"/>
        <w:left w:val="none" w:sz="0" w:space="0" w:color="auto"/>
        <w:bottom w:val="none" w:sz="0" w:space="0" w:color="auto"/>
        <w:right w:val="none" w:sz="0" w:space="0" w:color="auto"/>
      </w:divBdr>
    </w:div>
    <w:div w:id="268200260">
      <w:bodyDiv w:val="1"/>
      <w:marLeft w:val="0"/>
      <w:marRight w:val="0"/>
      <w:marTop w:val="0"/>
      <w:marBottom w:val="0"/>
      <w:divBdr>
        <w:top w:val="none" w:sz="0" w:space="0" w:color="auto"/>
        <w:left w:val="none" w:sz="0" w:space="0" w:color="auto"/>
        <w:bottom w:val="none" w:sz="0" w:space="0" w:color="auto"/>
        <w:right w:val="none" w:sz="0" w:space="0" w:color="auto"/>
      </w:divBdr>
    </w:div>
    <w:div w:id="269708070">
      <w:bodyDiv w:val="1"/>
      <w:marLeft w:val="0"/>
      <w:marRight w:val="0"/>
      <w:marTop w:val="0"/>
      <w:marBottom w:val="0"/>
      <w:divBdr>
        <w:top w:val="none" w:sz="0" w:space="0" w:color="auto"/>
        <w:left w:val="none" w:sz="0" w:space="0" w:color="auto"/>
        <w:bottom w:val="none" w:sz="0" w:space="0" w:color="auto"/>
        <w:right w:val="none" w:sz="0" w:space="0" w:color="auto"/>
      </w:divBdr>
    </w:div>
    <w:div w:id="272324394">
      <w:bodyDiv w:val="1"/>
      <w:marLeft w:val="0"/>
      <w:marRight w:val="0"/>
      <w:marTop w:val="0"/>
      <w:marBottom w:val="0"/>
      <w:divBdr>
        <w:top w:val="none" w:sz="0" w:space="0" w:color="auto"/>
        <w:left w:val="none" w:sz="0" w:space="0" w:color="auto"/>
        <w:bottom w:val="none" w:sz="0" w:space="0" w:color="auto"/>
        <w:right w:val="none" w:sz="0" w:space="0" w:color="auto"/>
      </w:divBdr>
    </w:div>
    <w:div w:id="277183412">
      <w:bodyDiv w:val="1"/>
      <w:marLeft w:val="0"/>
      <w:marRight w:val="0"/>
      <w:marTop w:val="0"/>
      <w:marBottom w:val="0"/>
      <w:divBdr>
        <w:top w:val="none" w:sz="0" w:space="0" w:color="auto"/>
        <w:left w:val="none" w:sz="0" w:space="0" w:color="auto"/>
        <w:bottom w:val="none" w:sz="0" w:space="0" w:color="auto"/>
        <w:right w:val="none" w:sz="0" w:space="0" w:color="auto"/>
      </w:divBdr>
    </w:div>
    <w:div w:id="278951406">
      <w:bodyDiv w:val="1"/>
      <w:marLeft w:val="0"/>
      <w:marRight w:val="0"/>
      <w:marTop w:val="0"/>
      <w:marBottom w:val="0"/>
      <w:divBdr>
        <w:top w:val="none" w:sz="0" w:space="0" w:color="auto"/>
        <w:left w:val="none" w:sz="0" w:space="0" w:color="auto"/>
        <w:bottom w:val="none" w:sz="0" w:space="0" w:color="auto"/>
        <w:right w:val="none" w:sz="0" w:space="0" w:color="auto"/>
      </w:divBdr>
    </w:div>
    <w:div w:id="285309173">
      <w:bodyDiv w:val="1"/>
      <w:marLeft w:val="0"/>
      <w:marRight w:val="0"/>
      <w:marTop w:val="0"/>
      <w:marBottom w:val="0"/>
      <w:divBdr>
        <w:top w:val="none" w:sz="0" w:space="0" w:color="auto"/>
        <w:left w:val="none" w:sz="0" w:space="0" w:color="auto"/>
        <w:bottom w:val="none" w:sz="0" w:space="0" w:color="auto"/>
        <w:right w:val="none" w:sz="0" w:space="0" w:color="auto"/>
      </w:divBdr>
    </w:div>
    <w:div w:id="285888946">
      <w:bodyDiv w:val="1"/>
      <w:marLeft w:val="0"/>
      <w:marRight w:val="0"/>
      <w:marTop w:val="0"/>
      <w:marBottom w:val="0"/>
      <w:divBdr>
        <w:top w:val="none" w:sz="0" w:space="0" w:color="auto"/>
        <w:left w:val="none" w:sz="0" w:space="0" w:color="auto"/>
        <w:bottom w:val="none" w:sz="0" w:space="0" w:color="auto"/>
        <w:right w:val="none" w:sz="0" w:space="0" w:color="auto"/>
      </w:divBdr>
    </w:div>
    <w:div w:id="291374524">
      <w:bodyDiv w:val="1"/>
      <w:marLeft w:val="0"/>
      <w:marRight w:val="0"/>
      <w:marTop w:val="0"/>
      <w:marBottom w:val="0"/>
      <w:divBdr>
        <w:top w:val="none" w:sz="0" w:space="0" w:color="auto"/>
        <w:left w:val="none" w:sz="0" w:space="0" w:color="auto"/>
        <w:bottom w:val="none" w:sz="0" w:space="0" w:color="auto"/>
        <w:right w:val="none" w:sz="0" w:space="0" w:color="auto"/>
      </w:divBdr>
    </w:div>
    <w:div w:id="295840578">
      <w:bodyDiv w:val="1"/>
      <w:marLeft w:val="0"/>
      <w:marRight w:val="0"/>
      <w:marTop w:val="0"/>
      <w:marBottom w:val="0"/>
      <w:divBdr>
        <w:top w:val="none" w:sz="0" w:space="0" w:color="auto"/>
        <w:left w:val="none" w:sz="0" w:space="0" w:color="auto"/>
        <w:bottom w:val="none" w:sz="0" w:space="0" w:color="auto"/>
        <w:right w:val="none" w:sz="0" w:space="0" w:color="auto"/>
      </w:divBdr>
    </w:div>
    <w:div w:id="296688623">
      <w:bodyDiv w:val="1"/>
      <w:marLeft w:val="0"/>
      <w:marRight w:val="0"/>
      <w:marTop w:val="0"/>
      <w:marBottom w:val="0"/>
      <w:divBdr>
        <w:top w:val="none" w:sz="0" w:space="0" w:color="auto"/>
        <w:left w:val="none" w:sz="0" w:space="0" w:color="auto"/>
        <w:bottom w:val="none" w:sz="0" w:space="0" w:color="auto"/>
        <w:right w:val="none" w:sz="0" w:space="0" w:color="auto"/>
      </w:divBdr>
    </w:div>
    <w:div w:id="299504062">
      <w:bodyDiv w:val="1"/>
      <w:marLeft w:val="0"/>
      <w:marRight w:val="0"/>
      <w:marTop w:val="0"/>
      <w:marBottom w:val="0"/>
      <w:divBdr>
        <w:top w:val="none" w:sz="0" w:space="0" w:color="auto"/>
        <w:left w:val="none" w:sz="0" w:space="0" w:color="auto"/>
        <w:bottom w:val="none" w:sz="0" w:space="0" w:color="auto"/>
        <w:right w:val="none" w:sz="0" w:space="0" w:color="auto"/>
      </w:divBdr>
    </w:div>
    <w:div w:id="302464200">
      <w:bodyDiv w:val="1"/>
      <w:marLeft w:val="0"/>
      <w:marRight w:val="0"/>
      <w:marTop w:val="0"/>
      <w:marBottom w:val="0"/>
      <w:divBdr>
        <w:top w:val="none" w:sz="0" w:space="0" w:color="auto"/>
        <w:left w:val="none" w:sz="0" w:space="0" w:color="auto"/>
        <w:bottom w:val="none" w:sz="0" w:space="0" w:color="auto"/>
        <w:right w:val="none" w:sz="0" w:space="0" w:color="auto"/>
      </w:divBdr>
    </w:div>
    <w:div w:id="308706091">
      <w:bodyDiv w:val="1"/>
      <w:marLeft w:val="0"/>
      <w:marRight w:val="0"/>
      <w:marTop w:val="0"/>
      <w:marBottom w:val="0"/>
      <w:divBdr>
        <w:top w:val="none" w:sz="0" w:space="0" w:color="auto"/>
        <w:left w:val="none" w:sz="0" w:space="0" w:color="auto"/>
        <w:bottom w:val="none" w:sz="0" w:space="0" w:color="auto"/>
        <w:right w:val="none" w:sz="0" w:space="0" w:color="auto"/>
      </w:divBdr>
    </w:div>
    <w:div w:id="316344426">
      <w:bodyDiv w:val="1"/>
      <w:marLeft w:val="0"/>
      <w:marRight w:val="0"/>
      <w:marTop w:val="0"/>
      <w:marBottom w:val="0"/>
      <w:divBdr>
        <w:top w:val="none" w:sz="0" w:space="0" w:color="auto"/>
        <w:left w:val="none" w:sz="0" w:space="0" w:color="auto"/>
        <w:bottom w:val="none" w:sz="0" w:space="0" w:color="auto"/>
        <w:right w:val="none" w:sz="0" w:space="0" w:color="auto"/>
      </w:divBdr>
    </w:div>
    <w:div w:id="317156201">
      <w:bodyDiv w:val="1"/>
      <w:marLeft w:val="0"/>
      <w:marRight w:val="0"/>
      <w:marTop w:val="0"/>
      <w:marBottom w:val="0"/>
      <w:divBdr>
        <w:top w:val="none" w:sz="0" w:space="0" w:color="auto"/>
        <w:left w:val="none" w:sz="0" w:space="0" w:color="auto"/>
        <w:bottom w:val="none" w:sz="0" w:space="0" w:color="auto"/>
        <w:right w:val="none" w:sz="0" w:space="0" w:color="auto"/>
      </w:divBdr>
    </w:div>
    <w:div w:id="320012753">
      <w:bodyDiv w:val="1"/>
      <w:marLeft w:val="0"/>
      <w:marRight w:val="0"/>
      <w:marTop w:val="0"/>
      <w:marBottom w:val="0"/>
      <w:divBdr>
        <w:top w:val="none" w:sz="0" w:space="0" w:color="auto"/>
        <w:left w:val="none" w:sz="0" w:space="0" w:color="auto"/>
        <w:bottom w:val="none" w:sz="0" w:space="0" w:color="auto"/>
        <w:right w:val="none" w:sz="0" w:space="0" w:color="auto"/>
      </w:divBdr>
    </w:div>
    <w:div w:id="337929879">
      <w:bodyDiv w:val="1"/>
      <w:marLeft w:val="0"/>
      <w:marRight w:val="0"/>
      <w:marTop w:val="0"/>
      <w:marBottom w:val="0"/>
      <w:divBdr>
        <w:top w:val="none" w:sz="0" w:space="0" w:color="auto"/>
        <w:left w:val="none" w:sz="0" w:space="0" w:color="auto"/>
        <w:bottom w:val="none" w:sz="0" w:space="0" w:color="auto"/>
        <w:right w:val="none" w:sz="0" w:space="0" w:color="auto"/>
      </w:divBdr>
    </w:div>
    <w:div w:id="347097743">
      <w:bodyDiv w:val="1"/>
      <w:marLeft w:val="0"/>
      <w:marRight w:val="0"/>
      <w:marTop w:val="0"/>
      <w:marBottom w:val="0"/>
      <w:divBdr>
        <w:top w:val="none" w:sz="0" w:space="0" w:color="auto"/>
        <w:left w:val="none" w:sz="0" w:space="0" w:color="auto"/>
        <w:bottom w:val="none" w:sz="0" w:space="0" w:color="auto"/>
        <w:right w:val="none" w:sz="0" w:space="0" w:color="auto"/>
      </w:divBdr>
    </w:div>
    <w:div w:id="349374439">
      <w:bodyDiv w:val="1"/>
      <w:marLeft w:val="0"/>
      <w:marRight w:val="0"/>
      <w:marTop w:val="0"/>
      <w:marBottom w:val="0"/>
      <w:divBdr>
        <w:top w:val="none" w:sz="0" w:space="0" w:color="auto"/>
        <w:left w:val="none" w:sz="0" w:space="0" w:color="auto"/>
        <w:bottom w:val="none" w:sz="0" w:space="0" w:color="auto"/>
        <w:right w:val="none" w:sz="0" w:space="0" w:color="auto"/>
      </w:divBdr>
    </w:div>
    <w:div w:id="350836234">
      <w:bodyDiv w:val="1"/>
      <w:marLeft w:val="0"/>
      <w:marRight w:val="0"/>
      <w:marTop w:val="0"/>
      <w:marBottom w:val="0"/>
      <w:divBdr>
        <w:top w:val="none" w:sz="0" w:space="0" w:color="auto"/>
        <w:left w:val="none" w:sz="0" w:space="0" w:color="auto"/>
        <w:bottom w:val="none" w:sz="0" w:space="0" w:color="auto"/>
        <w:right w:val="none" w:sz="0" w:space="0" w:color="auto"/>
      </w:divBdr>
    </w:div>
    <w:div w:id="351953110">
      <w:bodyDiv w:val="1"/>
      <w:marLeft w:val="0"/>
      <w:marRight w:val="0"/>
      <w:marTop w:val="0"/>
      <w:marBottom w:val="0"/>
      <w:divBdr>
        <w:top w:val="none" w:sz="0" w:space="0" w:color="auto"/>
        <w:left w:val="none" w:sz="0" w:space="0" w:color="auto"/>
        <w:bottom w:val="none" w:sz="0" w:space="0" w:color="auto"/>
        <w:right w:val="none" w:sz="0" w:space="0" w:color="auto"/>
      </w:divBdr>
    </w:div>
    <w:div w:id="354431872">
      <w:bodyDiv w:val="1"/>
      <w:marLeft w:val="0"/>
      <w:marRight w:val="0"/>
      <w:marTop w:val="0"/>
      <w:marBottom w:val="0"/>
      <w:divBdr>
        <w:top w:val="none" w:sz="0" w:space="0" w:color="auto"/>
        <w:left w:val="none" w:sz="0" w:space="0" w:color="auto"/>
        <w:bottom w:val="none" w:sz="0" w:space="0" w:color="auto"/>
        <w:right w:val="none" w:sz="0" w:space="0" w:color="auto"/>
      </w:divBdr>
    </w:div>
    <w:div w:id="354774062">
      <w:bodyDiv w:val="1"/>
      <w:marLeft w:val="0"/>
      <w:marRight w:val="0"/>
      <w:marTop w:val="0"/>
      <w:marBottom w:val="0"/>
      <w:divBdr>
        <w:top w:val="none" w:sz="0" w:space="0" w:color="auto"/>
        <w:left w:val="none" w:sz="0" w:space="0" w:color="auto"/>
        <w:bottom w:val="none" w:sz="0" w:space="0" w:color="auto"/>
        <w:right w:val="none" w:sz="0" w:space="0" w:color="auto"/>
      </w:divBdr>
    </w:div>
    <w:div w:id="360008561">
      <w:bodyDiv w:val="1"/>
      <w:marLeft w:val="0"/>
      <w:marRight w:val="0"/>
      <w:marTop w:val="0"/>
      <w:marBottom w:val="0"/>
      <w:divBdr>
        <w:top w:val="none" w:sz="0" w:space="0" w:color="auto"/>
        <w:left w:val="none" w:sz="0" w:space="0" w:color="auto"/>
        <w:bottom w:val="none" w:sz="0" w:space="0" w:color="auto"/>
        <w:right w:val="none" w:sz="0" w:space="0" w:color="auto"/>
      </w:divBdr>
    </w:div>
    <w:div w:id="366298830">
      <w:bodyDiv w:val="1"/>
      <w:marLeft w:val="0"/>
      <w:marRight w:val="0"/>
      <w:marTop w:val="0"/>
      <w:marBottom w:val="0"/>
      <w:divBdr>
        <w:top w:val="none" w:sz="0" w:space="0" w:color="auto"/>
        <w:left w:val="none" w:sz="0" w:space="0" w:color="auto"/>
        <w:bottom w:val="none" w:sz="0" w:space="0" w:color="auto"/>
        <w:right w:val="none" w:sz="0" w:space="0" w:color="auto"/>
      </w:divBdr>
    </w:div>
    <w:div w:id="367797519">
      <w:bodyDiv w:val="1"/>
      <w:marLeft w:val="0"/>
      <w:marRight w:val="0"/>
      <w:marTop w:val="0"/>
      <w:marBottom w:val="0"/>
      <w:divBdr>
        <w:top w:val="none" w:sz="0" w:space="0" w:color="auto"/>
        <w:left w:val="none" w:sz="0" w:space="0" w:color="auto"/>
        <w:bottom w:val="none" w:sz="0" w:space="0" w:color="auto"/>
        <w:right w:val="none" w:sz="0" w:space="0" w:color="auto"/>
      </w:divBdr>
    </w:div>
    <w:div w:id="367992286">
      <w:bodyDiv w:val="1"/>
      <w:marLeft w:val="0"/>
      <w:marRight w:val="0"/>
      <w:marTop w:val="0"/>
      <w:marBottom w:val="0"/>
      <w:divBdr>
        <w:top w:val="none" w:sz="0" w:space="0" w:color="auto"/>
        <w:left w:val="none" w:sz="0" w:space="0" w:color="auto"/>
        <w:bottom w:val="none" w:sz="0" w:space="0" w:color="auto"/>
        <w:right w:val="none" w:sz="0" w:space="0" w:color="auto"/>
      </w:divBdr>
    </w:div>
    <w:div w:id="368801952">
      <w:bodyDiv w:val="1"/>
      <w:marLeft w:val="0"/>
      <w:marRight w:val="0"/>
      <w:marTop w:val="0"/>
      <w:marBottom w:val="0"/>
      <w:divBdr>
        <w:top w:val="none" w:sz="0" w:space="0" w:color="auto"/>
        <w:left w:val="none" w:sz="0" w:space="0" w:color="auto"/>
        <w:bottom w:val="none" w:sz="0" w:space="0" w:color="auto"/>
        <w:right w:val="none" w:sz="0" w:space="0" w:color="auto"/>
      </w:divBdr>
    </w:div>
    <w:div w:id="372317482">
      <w:bodyDiv w:val="1"/>
      <w:marLeft w:val="0"/>
      <w:marRight w:val="0"/>
      <w:marTop w:val="0"/>
      <w:marBottom w:val="0"/>
      <w:divBdr>
        <w:top w:val="none" w:sz="0" w:space="0" w:color="auto"/>
        <w:left w:val="none" w:sz="0" w:space="0" w:color="auto"/>
        <w:bottom w:val="none" w:sz="0" w:space="0" w:color="auto"/>
        <w:right w:val="none" w:sz="0" w:space="0" w:color="auto"/>
      </w:divBdr>
    </w:div>
    <w:div w:id="395784597">
      <w:bodyDiv w:val="1"/>
      <w:marLeft w:val="0"/>
      <w:marRight w:val="0"/>
      <w:marTop w:val="0"/>
      <w:marBottom w:val="0"/>
      <w:divBdr>
        <w:top w:val="none" w:sz="0" w:space="0" w:color="auto"/>
        <w:left w:val="none" w:sz="0" w:space="0" w:color="auto"/>
        <w:bottom w:val="none" w:sz="0" w:space="0" w:color="auto"/>
        <w:right w:val="none" w:sz="0" w:space="0" w:color="auto"/>
      </w:divBdr>
    </w:div>
    <w:div w:id="406847646">
      <w:bodyDiv w:val="1"/>
      <w:marLeft w:val="0"/>
      <w:marRight w:val="0"/>
      <w:marTop w:val="0"/>
      <w:marBottom w:val="0"/>
      <w:divBdr>
        <w:top w:val="none" w:sz="0" w:space="0" w:color="auto"/>
        <w:left w:val="none" w:sz="0" w:space="0" w:color="auto"/>
        <w:bottom w:val="none" w:sz="0" w:space="0" w:color="auto"/>
        <w:right w:val="none" w:sz="0" w:space="0" w:color="auto"/>
      </w:divBdr>
    </w:div>
    <w:div w:id="410663055">
      <w:bodyDiv w:val="1"/>
      <w:marLeft w:val="0"/>
      <w:marRight w:val="0"/>
      <w:marTop w:val="0"/>
      <w:marBottom w:val="0"/>
      <w:divBdr>
        <w:top w:val="none" w:sz="0" w:space="0" w:color="auto"/>
        <w:left w:val="none" w:sz="0" w:space="0" w:color="auto"/>
        <w:bottom w:val="none" w:sz="0" w:space="0" w:color="auto"/>
        <w:right w:val="none" w:sz="0" w:space="0" w:color="auto"/>
      </w:divBdr>
    </w:div>
    <w:div w:id="411895078">
      <w:bodyDiv w:val="1"/>
      <w:marLeft w:val="0"/>
      <w:marRight w:val="0"/>
      <w:marTop w:val="0"/>
      <w:marBottom w:val="0"/>
      <w:divBdr>
        <w:top w:val="none" w:sz="0" w:space="0" w:color="auto"/>
        <w:left w:val="none" w:sz="0" w:space="0" w:color="auto"/>
        <w:bottom w:val="none" w:sz="0" w:space="0" w:color="auto"/>
        <w:right w:val="none" w:sz="0" w:space="0" w:color="auto"/>
      </w:divBdr>
    </w:div>
    <w:div w:id="416945010">
      <w:bodyDiv w:val="1"/>
      <w:marLeft w:val="0"/>
      <w:marRight w:val="0"/>
      <w:marTop w:val="0"/>
      <w:marBottom w:val="0"/>
      <w:divBdr>
        <w:top w:val="none" w:sz="0" w:space="0" w:color="auto"/>
        <w:left w:val="none" w:sz="0" w:space="0" w:color="auto"/>
        <w:bottom w:val="none" w:sz="0" w:space="0" w:color="auto"/>
        <w:right w:val="none" w:sz="0" w:space="0" w:color="auto"/>
      </w:divBdr>
    </w:div>
    <w:div w:id="418597657">
      <w:bodyDiv w:val="1"/>
      <w:marLeft w:val="0"/>
      <w:marRight w:val="0"/>
      <w:marTop w:val="0"/>
      <w:marBottom w:val="0"/>
      <w:divBdr>
        <w:top w:val="none" w:sz="0" w:space="0" w:color="auto"/>
        <w:left w:val="none" w:sz="0" w:space="0" w:color="auto"/>
        <w:bottom w:val="none" w:sz="0" w:space="0" w:color="auto"/>
        <w:right w:val="none" w:sz="0" w:space="0" w:color="auto"/>
      </w:divBdr>
    </w:div>
    <w:div w:id="419452632">
      <w:bodyDiv w:val="1"/>
      <w:marLeft w:val="0"/>
      <w:marRight w:val="0"/>
      <w:marTop w:val="0"/>
      <w:marBottom w:val="0"/>
      <w:divBdr>
        <w:top w:val="none" w:sz="0" w:space="0" w:color="auto"/>
        <w:left w:val="none" w:sz="0" w:space="0" w:color="auto"/>
        <w:bottom w:val="none" w:sz="0" w:space="0" w:color="auto"/>
        <w:right w:val="none" w:sz="0" w:space="0" w:color="auto"/>
      </w:divBdr>
    </w:div>
    <w:div w:id="422730216">
      <w:bodyDiv w:val="1"/>
      <w:marLeft w:val="0"/>
      <w:marRight w:val="0"/>
      <w:marTop w:val="0"/>
      <w:marBottom w:val="0"/>
      <w:divBdr>
        <w:top w:val="none" w:sz="0" w:space="0" w:color="auto"/>
        <w:left w:val="none" w:sz="0" w:space="0" w:color="auto"/>
        <w:bottom w:val="none" w:sz="0" w:space="0" w:color="auto"/>
        <w:right w:val="none" w:sz="0" w:space="0" w:color="auto"/>
      </w:divBdr>
    </w:div>
    <w:div w:id="425540711">
      <w:bodyDiv w:val="1"/>
      <w:marLeft w:val="0"/>
      <w:marRight w:val="0"/>
      <w:marTop w:val="0"/>
      <w:marBottom w:val="0"/>
      <w:divBdr>
        <w:top w:val="none" w:sz="0" w:space="0" w:color="auto"/>
        <w:left w:val="none" w:sz="0" w:space="0" w:color="auto"/>
        <w:bottom w:val="none" w:sz="0" w:space="0" w:color="auto"/>
        <w:right w:val="none" w:sz="0" w:space="0" w:color="auto"/>
      </w:divBdr>
    </w:div>
    <w:div w:id="426659757">
      <w:bodyDiv w:val="1"/>
      <w:marLeft w:val="0"/>
      <w:marRight w:val="0"/>
      <w:marTop w:val="0"/>
      <w:marBottom w:val="0"/>
      <w:divBdr>
        <w:top w:val="none" w:sz="0" w:space="0" w:color="auto"/>
        <w:left w:val="none" w:sz="0" w:space="0" w:color="auto"/>
        <w:bottom w:val="none" w:sz="0" w:space="0" w:color="auto"/>
        <w:right w:val="none" w:sz="0" w:space="0" w:color="auto"/>
      </w:divBdr>
    </w:div>
    <w:div w:id="431517501">
      <w:bodyDiv w:val="1"/>
      <w:marLeft w:val="0"/>
      <w:marRight w:val="0"/>
      <w:marTop w:val="0"/>
      <w:marBottom w:val="0"/>
      <w:divBdr>
        <w:top w:val="none" w:sz="0" w:space="0" w:color="auto"/>
        <w:left w:val="none" w:sz="0" w:space="0" w:color="auto"/>
        <w:bottom w:val="none" w:sz="0" w:space="0" w:color="auto"/>
        <w:right w:val="none" w:sz="0" w:space="0" w:color="auto"/>
      </w:divBdr>
    </w:div>
    <w:div w:id="432555643">
      <w:bodyDiv w:val="1"/>
      <w:marLeft w:val="0"/>
      <w:marRight w:val="0"/>
      <w:marTop w:val="0"/>
      <w:marBottom w:val="0"/>
      <w:divBdr>
        <w:top w:val="none" w:sz="0" w:space="0" w:color="auto"/>
        <w:left w:val="none" w:sz="0" w:space="0" w:color="auto"/>
        <w:bottom w:val="none" w:sz="0" w:space="0" w:color="auto"/>
        <w:right w:val="none" w:sz="0" w:space="0" w:color="auto"/>
      </w:divBdr>
    </w:div>
    <w:div w:id="432557104">
      <w:bodyDiv w:val="1"/>
      <w:marLeft w:val="0"/>
      <w:marRight w:val="0"/>
      <w:marTop w:val="0"/>
      <w:marBottom w:val="0"/>
      <w:divBdr>
        <w:top w:val="none" w:sz="0" w:space="0" w:color="auto"/>
        <w:left w:val="none" w:sz="0" w:space="0" w:color="auto"/>
        <w:bottom w:val="none" w:sz="0" w:space="0" w:color="auto"/>
        <w:right w:val="none" w:sz="0" w:space="0" w:color="auto"/>
      </w:divBdr>
    </w:div>
    <w:div w:id="438372778">
      <w:bodyDiv w:val="1"/>
      <w:marLeft w:val="0"/>
      <w:marRight w:val="0"/>
      <w:marTop w:val="0"/>
      <w:marBottom w:val="0"/>
      <w:divBdr>
        <w:top w:val="none" w:sz="0" w:space="0" w:color="auto"/>
        <w:left w:val="none" w:sz="0" w:space="0" w:color="auto"/>
        <w:bottom w:val="none" w:sz="0" w:space="0" w:color="auto"/>
        <w:right w:val="none" w:sz="0" w:space="0" w:color="auto"/>
      </w:divBdr>
    </w:div>
    <w:div w:id="442458586">
      <w:bodyDiv w:val="1"/>
      <w:marLeft w:val="0"/>
      <w:marRight w:val="0"/>
      <w:marTop w:val="0"/>
      <w:marBottom w:val="0"/>
      <w:divBdr>
        <w:top w:val="none" w:sz="0" w:space="0" w:color="auto"/>
        <w:left w:val="none" w:sz="0" w:space="0" w:color="auto"/>
        <w:bottom w:val="none" w:sz="0" w:space="0" w:color="auto"/>
        <w:right w:val="none" w:sz="0" w:space="0" w:color="auto"/>
      </w:divBdr>
    </w:div>
    <w:div w:id="456677824">
      <w:bodyDiv w:val="1"/>
      <w:marLeft w:val="0"/>
      <w:marRight w:val="0"/>
      <w:marTop w:val="0"/>
      <w:marBottom w:val="0"/>
      <w:divBdr>
        <w:top w:val="none" w:sz="0" w:space="0" w:color="auto"/>
        <w:left w:val="none" w:sz="0" w:space="0" w:color="auto"/>
        <w:bottom w:val="none" w:sz="0" w:space="0" w:color="auto"/>
        <w:right w:val="none" w:sz="0" w:space="0" w:color="auto"/>
      </w:divBdr>
    </w:div>
    <w:div w:id="456872939">
      <w:bodyDiv w:val="1"/>
      <w:marLeft w:val="0"/>
      <w:marRight w:val="0"/>
      <w:marTop w:val="0"/>
      <w:marBottom w:val="0"/>
      <w:divBdr>
        <w:top w:val="none" w:sz="0" w:space="0" w:color="auto"/>
        <w:left w:val="none" w:sz="0" w:space="0" w:color="auto"/>
        <w:bottom w:val="none" w:sz="0" w:space="0" w:color="auto"/>
        <w:right w:val="none" w:sz="0" w:space="0" w:color="auto"/>
      </w:divBdr>
    </w:div>
    <w:div w:id="460726624">
      <w:bodyDiv w:val="1"/>
      <w:marLeft w:val="0"/>
      <w:marRight w:val="0"/>
      <w:marTop w:val="0"/>
      <w:marBottom w:val="0"/>
      <w:divBdr>
        <w:top w:val="none" w:sz="0" w:space="0" w:color="auto"/>
        <w:left w:val="none" w:sz="0" w:space="0" w:color="auto"/>
        <w:bottom w:val="none" w:sz="0" w:space="0" w:color="auto"/>
        <w:right w:val="none" w:sz="0" w:space="0" w:color="auto"/>
      </w:divBdr>
    </w:div>
    <w:div w:id="467822745">
      <w:bodyDiv w:val="1"/>
      <w:marLeft w:val="0"/>
      <w:marRight w:val="0"/>
      <w:marTop w:val="0"/>
      <w:marBottom w:val="0"/>
      <w:divBdr>
        <w:top w:val="none" w:sz="0" w:space="0" w:color="auto"/>
        <w:left w:val="none" w:sz="0" w:space="0" w:color="auto"/>
        <w:bottom w:val="none" w:sz="0" w:space="0" w:color="auto"/>
        <w:right w:val="none" w:sz="0" w:space="0" w:color="auto"/>
      </w:divBdr>
    </w:div>
    <w:div w:id="484472371">
      <w:bodyDiv w:val="1"/>
      <w:marLeft w:val="0"/>
      <w:marRight w:val="0"/>
      <w:marTop w:val="0"/>
      <w:marBottom w:val="0"/>
      <w:divBdr>
        <w:top w:val="none" w:sz="0" w:space="0" w:color="auto"/>
        <w:left w:val="none" w:sz="0" w:space="0" w:color="auto"/>
        <w:bottom w:val="none" w:sz="0" w:space="0" w:color="auto"/>
        <w:right w:val="none" w:sz="0" w:space="0" w:color="auto"/>
      </w:divBdr>
    </w:div>
    <w:div w:id="484668857">
      <w:bodyDiv w:val="1"/>
      <w:marLeft w:val="0"/>
      <w:marRight w:val="0"/>
      <w:marTop w:val="0"/>
      <w:marBottom w:val="0"/>
      <w:divBdr>
        <w:top w:val="none" w:sz="0" w:space="0" w:color="auto"/>
        <w:left w:val="none" w:sz="0" w:space="0" w:color="auto"/>
        <w:bottom w:val="none" w:sz="0" w:space="0" w:color="auto"/>
        <w:right w:val="none" w:sz="0" w:space="0" w:color="auto"/>
      </w:divBdr>
    </w:div>
    <w:div w:id="484708728">
      <w:bodyDiv w:val="1"/>
      <w:marLeft w:val="0"/>
      <w:marRight w:val="0"/>
      <w:marTop w:val="0"/>
      <w:marBottom w:val="0"/>
      <w:divBdr>
        <w:top w:val="none" w:sz="0" w:space="0" w:color="auto"/>
        <w:left w:val="none" w:sz="0" w:space="0" w:color="auto"/>
        <w:bottom w:val="none" w:sz="0" w:space="0" w:color="auto"/>
        <w:right w:val="none" w:sz="0" w:space="0" w:color="auto"/>
      </w:divBdr>
    </w:div>
    <w:div w:id="486241284">
      <w:bodyDiv w:val="1"/>
      <w:marLeft w:val="0"/>
      <w:marRight w:val="0"/>
      <w:marTop w:val="0"/>
      <w:marBottom w:val="0"/>
      <w:divBdr>
        <w:top w:val="none" w:sz="0" w:space="0" w:color="auto"/>
        <w:left w:val="none" w:sz="0" w:space="0" w:color="auto"/>
        <w:bottom w:val="none" w:sz="0" w:space="0" w:color="auto"/>
        <w:right w:val="none" w:sz="0" w:space="0" w:color="auto"/>
      </w:divBdr>
    </w:div>
    <w:div w:id="491022501">
      <w:bodyDiv w:val="1"/>
      <w:marLeft w:val="0"/>
      <w:marRight w:val="0"/>
      <w:marTop w:val="0"/>
      <w:marBottom w:val="0"/>
      <w:divBdr>
        <w:top w:val="none" w:sz="0" w:space="0" w:color="auto"/>
        <w:left w:val="none" w:sz="0" w:space="0" w:color="auto"/>
        <w:bottom w:val="none" w:sz="0" w:space="0" w:color="auto"/>
        <w:right w:val="none" w:sz="0" w:space="0" w:color="auto"/>
      </w:divBdr>
    </w:div>
    <w:div w:id="497426596">
      <w:bodyDiv w:val="1"/>
      <w:marLeft w:val="0"/>
      <w:marRight w:val="0"/>
      <w:marTop w:val="0"/>
      <w:marBottom w:val="0"/>
      <w:divBdr>
        <w:top w:val="none" w:sz="0" w:space="0" w:color="auto"/>
        <w:left w:val="none" w:sz="0" w:space="0" w:color="auto"/>
        <w:bottom w:val="none" w:sz="0" w:space="0" w:color="auto"/>
        <w:right w:val="none" w:sz="0" w:space="0" w:color="auto"/>
      </w:divBdr>
    </w:div>
    <w:div w:id="504132688">
      <w:bodyDiv w:val="1"/>
      <w:marLeft w:val="0"/>
      <w:marRight w:val="0"/>
      <w:marTop w:val="0"/>
      <w:marBottom w:val="0"/>
      <w:divBdr>
        <w:top w:val="none" w:sz="0" w:space="0" w:color="auto"/>
        <w:left w:val="none" w:sz="0" w:space="0" w:color="auto"/>
        <w:bottom w:val="none" w:sz="0" w:space="0" w:color="auto"/>
        <w:right w:val="none" w:sz="0" w:space="0" w:color="auto"/>
      </w:divBdr>
    </w:div>
    <w:div w:id="518355348">
      <w:bodyDiv w:val="1"/>
      <w:marLeft w:val="0"/>
      <w:marRight w:val="0"/>
      <w:marTop w:val="0"/>
      <w:marBottom w:val="0"/>
      <w:divBdr>
        <w:top w:val="none" w:sz="0" w:space="0" w:color="auto"/>
        <w:left w:val="none" w:sz="0" w:space="0" w:color="auto"/>
        <w:bottom w:val="none" w:sz="0" w:space="0" w:color="auto"/>
        <w:right w:val="none" w:sz="0" w:space="0" w:color="auto"/>
      </w:divBdr>
    </w:div>
    <w:div w:id="522980255">
      <w:bodyDiv w:val="1"/>
      <w:marLeft w:val="0"/>
      <w:marRight w:val="0"/>
      <w:marTop w:val="0"/>
      <w:marBottom w:val="0"/>
      <w:divBdr>
        <w:top w:val="none" w:sz="0" w:space="0" w:color="auto"/>
        <w:left w:val="none" w:sz="0" w:space="0" w:color="auto"/>
        <w:bottom w:val="none" w:sz="0" w:space="0" w:color="auto"/>
        <w:right w:val="none" w:sz="0" w:space="0" w:color="auto"/>
      </w:divBdr>
    </w:div>
    <w:div w:id="524633614">
      <w:bodyDiv w:val="1"/>
      <w:marLeft w:val="0"/>
      <w:marRight w:val="0"/>
      <w:marTop w:val="0"/>
      <w:marBottom w:val="0"/>
      <w:divBdr>
        <w:top w:val="none" w:sz="0" w:space="0" w:color="auto"/>
        <w:left w:val="none" w:sz="0" w:space="0" w:color="auto"/>
        <w:bottom w:val="none" w:sz="0" w:space="0" w:color="auto"/>
        <w:right w:val="none" w:sz="0" w:space="0" w:color="auto"/>
      </w:divBdr>
    </w:div>
    <w:div w:id="540552532">
      <w:bodyDiv w:val="1"/>
      <w:marLeft w:val="0"/>
      <w:marRight w:val="0"/>
      <w:marTop w:val="0"/>
      <w:marBottom w:val="0"/>
      <w:divBdr>
        <w:top w:val="none" w:sz="0" w:space="0" w:color="auto"/>
        <w:left w:val="none" w:sz="0" w:space="0" w:color="auto"/>
        <w:bottom w:val="none" w:sz="0" w:space="0" w:color="auto"/>
        <w:right w:val="none" w:sz="0" w:space="0" w:color="auto"/>
      </w:divBdr>
    </w:div>
    <w:div w:id="555239950">
      <w:bodyDiv w:val="1"/>
      <w:marLeft w:val="0"/>
      <w:marRight w:val="0"/>
      <w:marTop w:val="0"/>
      <w:marBottom w:val="0"/>
      <w:divBdr>
        <w:top w:val="none" w:sz="0" w:space="0" w:color="auto"/>
        <w:left w:val="none" w:sz="0" w:space="0" w:color="auto"/>
        <w:bottom w:val="none" w:sz="0" w:space="0" w:color="auto"/>
        <w:right w:val="none" w:sz="0" w:space="0" w:color="auto"/>
      </w:divBdr>
    </w:div>
    <w:div w:id="556235558">
      <w:bodyDiv w:val="1"/>
      <w:marLeft w:val="0"/>
      <w:marRight w:val="0"/>
      <w:marTop w:val="0"/>
      <w:marBottom w:val="0"/>
      <w:divBdr>
        <w:top w:val="none" w:sz="0" w:space="0" w:color="auto"/>
        <w:left w:val="none" w:sz="0" w:space="0" w:color="auto"/>
        <w:bottom w:val="none" w:sz="0" w:space="0" w:color="auto"/>
        <w:right w:val="none" w:sz="0" w:space="0" w:color="auto"/>
      </w:divBdr>
    </w:div>
    <w:div w:id="565068129">
      <w:bodyDiv w:val="1"/>
      <w:marLeft w:val="0"/>
      <w:marRight w:val="0"/>
      <w:marTop w:val="0"/>
      <w:marBottom w:val="0"/>
      <w:divBdr>
        <w:top w:val="none" w:sz="0" w:space="0" w:color="auto"/>
        <w:left w:val="none" w:sz="0" w:space="0" w:color="auto"/>
        <w:bottom w:val="none" w:sz="0" w:space="0" w:color="auto"/>
        <w:right w:val="none" w:sz="0" w:space="0" w:color="auto"/>
      </w:divBdr>
    </w:div>
    <w:div w:id="567810137">
      <w:bodyDiv w:val="1"/>
      <w:marLeft w:val="0"/>
      <w:marRight w:val="0"/>
      <w:marTop w:val="0"/>
      <w:marBottom w:val="0"/>
      <w:divBdr>
        <w:top w:val="none" w:sz="0" w:space="0" w:color="auto"/>
        <w:left w:val="none" w:sz="0" w:space="0" w:color="auto"/>
        <w:bottom w:val="none" w:sz="0" w:space="0" w:color="auto"/>
        <w:right w:val="none" w:sz="0" w:space="0" w:color="auto"/>
      </w:divBdr>
    </w:div>
    <w:div w:id="569730074">
      <w:bodyDiv w:val="1"/>
      <w:marLeft w:val="0"/>
      <w:marRight w:val="0"/>
      <w:marTop w:val="0"/>
      <w:marBottom w:val="0"/>
      <w:divBdr>
        <w:top w:val="none" w:sz="0" w:space="0" w:color="auto"/>
        <w:left w:val="none" w:sz="0" w:space="0" w:color="auto"/>
        <w:bottom w:val="none" w:sz="0" w:space="0" w:color="auto"/>
        <w:right w:val="none" w:sz="0" w:space="0" w:color="auto"/>
      </w:divBdr>
    </w:div>
    <w:div w:id="573517590">
      <w:bodyDiv w:val="1"/>
      <w:marLeft w:val="0"/>
      <w:marRight w:val="0"/>
      <w:marTop w:val="0"/>
      <w:marBottom w:val="0"/>
      <w:divBdr>
        <w:top w:val="none" w:sz="0" w:space="0" w:color="auto"/>
        <w:left w:val="none" w:sz="0" w:space="0" w:color="auto"/>
        <w:bottom w:val="none" w:sz="0" w:space="0" w:color="auto"/>
        <w:right w:val="none" w:sz="0" w:space="0" w:color="auto"/>
      </w:divBdr>
    </w:div>
    <w:div w:id="575021019">
      <w:bodyDiv w:val="1"/>
      <w:marLeft w:val="0"/>
      <w:marRight w:val="0"/>
      <w:marTop w:val="0"/>
      <w:marBottom w:val="0"/>
      <w:divBdr>
        <w:top w:val="none" w:sz="0" w:space="0" w:color="auto"/>
        <w:left w:val="none" w:sz="0" w:space="0" w:color="auto"/>
        <w:bottom w:val="none" w:sz="0" w:space="0" w:color="auto"/>
        <w:right w:val="none" w:sz="0" w:space="0" w:color="auto"/>
      </w:divBdr>
    </w:div>
    <w:div w:id="575821095">
      <w:bodyDiv w:val="1"/>
      <w:marLeft w:val="0"/>
      <w:marRight w:val="0"/>
      <w:marTop w:val="0"/>
      <w:marBottom w:val="0"/>
      <w:divBdr>
        <w:top w:val="none" w:sz="0" w:space="0" w:color="auto"/>
        <w:left w:val="none" w:sz="0" w:space="0" w:color="auto"/>
        <w:bottom w:val="none" w:sz="0" w:space="0" w:color="auto"/>
        <w:right w:val="none" w:sz="0" w:space="0" w:color="auto"/>
      </w:divBdr>
    </w:div>
    <w:div w:id="577255369">
      <w:bodyDiv w:val="1"/>
      <w:marLeft w:val="0"/>
      <w:marRight w:val="0"/>
      <w:marTop w:val="0"/>
      <w:marBottom w:val="0"/>
      <w:divBdr>
        <w:top w:val="none" w:sz="0" w:space="0" w:color="auto"/>
        <w:left w:val="none" w:sz="0" w:space="0" w:color="auto"/>
        <w:bottom w:val="none" w:sz="0" w:space="0" w:color="auto"/>
        <w:right w:val="none" w:sz="0" w:space="0" w:color="auto"/>
      </w:divBdr>
    </w:div>
    <w:div w:id="577597337">
      <w:bodyDiv w:val="1"/>
      <w:marLeft w:val="0"/>
      <w:marRight w:val="0"/>
      <w:marTop w:val="0"/>
      <w:marBottom w:val="0"/>
      <w:divBdr>
        <w:top w:val="none" w:sz="0" w:space="0" w:color="auto"/>
        <w:left w:val="none" w:sz="0" w:space="0" w:color="auto"/>
        <w:bottom w:val="none" w:sz="0" w:space="0" w:color="auto"/>
        <w:right w:val="none" w:sz="0" w:space="0" w:color="auto"/>
      </w:divBdr>
    </w:div>
    <w:div w:id="577832160">
      <w:bodyDiv w:val="1"/>
      <w:marLeft w:val="0"/>
      <w:marRight w:val="0"/>
      <w:marTop w:val="0"/>
      <w:marBottom w:val="0"/>
      <w:divBdr>
        <w:top w:val="none" w:sz="0" w:space="0" w:color="auto"/>
        <w:left w:val="none" w:sz="0" w:space="0" w:color="auto"/>
        <w:bottom w:val="none" w:sz="0" w:space="0" w:color="auto"/>
        <w:right w:val="none" w:sz="0" w:space="0" w:color="auto"/>
      </w:divBdr>
    </w:div>
    <w:div w:id="578370172">
      <w:bodyDiv w:val="1"/>
      <w:marLeft w:val="0"/>
      <w:marRight w:val="0"/>
      <w:marTop w:val="0"/>
      <w:marBottom w:val="0"/>
      <w:divBdr>
        <w:top w:val="none" w:sz="0" w:space="0" w:color="auto"/>
        <w:left w:val="none" w:sz="0" w:space="0" w:color="auto"/>
        <w:bottom w:val="none" w:sz="0" w:space="0" w:color="auto"/>
        <w:right w:val="none" w:sz="0" w:space="0" w:color="auto"/>
      </w:divBdr>
    </w:div>
    <w:div w:id="578486466">
      <w:bodyDiv w:val="1"/>
      <w:marLeft w:val="0"/>
      <w:marRight w:val="0"/>
      <w:marTop w:val="0"/>
      <w:marBottom w:val="0"/>
      <w:divBdr>
        <w:top w:val="none" w:sz="0" w:space="0" w:color="auto"/>
        <w:left w:val="none" w:sz="0" w:space="0" w:color="auto"/>
        <w:bottom w:val="none" w:sz="0" w:space="0" w:color="auto"/>
        <w:right w:val="none" w:sz="0" w:space="0" w:color="auto"/>
      </w:divBdr>
    </w:div>
    <w:div w:id="579220049">
      <w:bodyDiv w:val="1"/>
      <w:marLeft w:val="0"/>
      <w:marRight w:val="0"/>
      <w:marTop w:val="0"/>
      <w:marBottom w:val="0"/>
      <w:divBdr>
        <w:top w:val="none" w:sz="0" w:space="0" w:color="auto"/>
        <w:left w:val="none" w:sz="0" w:space="0" w:color="auto"/>
        <w:bottom w:val="none" w:sz="0" w:space="0" w:color="auto"/>
        <w:right w:val="none" w:sz="0" w:space="0" w:color="auto"/>
      </w:divBdr>
    </w:div>
    <w:div w:id="582450300">
      <w:bodyDiv w:val="1"/>
      <w:marLeft w:val="0"/>
      <w:marRight w:val="0"/>
      <w:marTop w:val="0"/>
      <w:marBottom w:val="0"/>
      <w:divBdr>
        <w:top w:val="none" w:sz="0" w:space="0" w:color="auto"/>
        <w:left w:val="none" w:sz="0" w:space="0" w:color="auto"/>
        <w:bottom w:val="none" w:sz="0" w:space="0" w:color="auto"/>
        <w:right w:val="none" w:sz="0" w:space="0" w:color="auto"/>
      </w:divBdr>
    </w:div>
    <w:div w:id="583150181">
      <w:bodyDiv w:val="1"/>
      <w:marLeft w:val="0"/>
      <w:marRight w:val="0"/>
      <w:marTop w:val="0"/>
      <w:marBottom w:val="0"/>
      <w:divBdr>
        <w:top w:val="none" w:sz="0" w:space="0" w:color="auto"/>
        <w:left w:val="none" w:sz="0" w:space="0" w:color="auto"/>
        <w:bottom w:val="none" w:sz="0" w:space="0" w:color="auto"/>
        <w:right w:val="none" w:sz="0" w:space="0" w:color="auto"/>
      </w:divBdr>
    </w:div>
    <w:div w:id="585916510">
      <w:bodyDiv w:val="1"/>
      <w:marLeft w:val="0"/>
      <w:marRight w:val="0"/>
      <w:marTop w:val="0"/>
      <w:marBottom w:val="0"/>
      <w:divBdr>
        <w:top w:val="none" w:sz="0" w:space="0" w:color="auto"/>
        <w:left w:val="none" w:sz="0" w:space="0" w:color="auto"/>
        <w:bottom w:val="none" w:sz="0" w:space="0" w:color="auto"/>
        <w:right w:val="none" w:sz="0" w:space="0" w:color="auto"/>
      </w:divBdr>
    </w:div>
    <w:div w:id="587155349">
      <w:bodyDiv w:val="1"/>
      <w:marLeft w:val="0"/>
      <w:marRight w:val="0"/>
      <w:marTop w:val="0"/>
      <w:marBottom w:val="0"/>
      <w:divBdr>
        <w:top w:val="none" w:sz="0" w:space="0" w:color="auto"/>
        <w:left w:val="none" w:sz="0" w:space="0" w:color="auto"/>
        <w:bottom w:val="none" w:sz="0" w:space="0" w:color="auto"/>
        <w:right w:val="none" w:sz="0" w:space="0" w:color="auto"/>
      </w:divBdr>
    </w:div>
    <w:div w:id="589118289">
      <w:bodyDiv w:val="1"/>
      <w:marLeft w:val="0"/>
      <w:marRight w:val="0"/>
      <w:marTop w:val="0"/>
      <w:marBottom w:val="0"/>
      <w:divBdr>
        <w:top w:val="none" w:sz="0" w:space="0" w:color="auto"/>
        <w:left w:val="none" w:sz="0" w:space="0" w:color="auto"/>
        <w:bottom w:val="none" w:sz="0" w:space="0" w:color="auto"/>
        <w:right w:val="none" w:sz="0" w:space="0" w:color="auto"/>
      </w:divBdr>
    </w:div>
    <w:div w:id="596671045">
      <w:bodyDiv w:val="1"/>
      <w:marLeft w:val="0"/>
      <w:marRight w:val="0"/>
      <w:marTop w:val="0"/>
      <w:marBottom w:val="0"/>
      <w:divBdr>
        <w:top w:val="none" w:sz="0" w:space="0" w:color="auto"/>
        <w:left w:val="none" w:sz="0" w:space="0" w:color="auto"/>
        <w:bottom w:val="none" w:sz="0" w:space="0" w:color="auto"/>
        <w:right w:val="none" w:sz="0" w:space="0" w:color="auto"/>
      </w:divBdr>
    </w:div>
    <w:div w:id="598218171">
      <w:bodyDiv w:val="1"/>
      <w:marLeft w:val="0"/>
      <w:marRight w:val="0"/>
      <w:marTop w:val="0"/>
      <w:marBottom w:val="0"/>
      <w:divBdr>
        <w:top w:val="none" w:sz="0" w:space="0" w:color="auto"/>
        <w:left w:val="none" w:sz="0" w:space="0" w:color="auto"/>
        <w:bottom w:val="none" w:sz="0" w:space="0" w:color="auto"/>
        <w:right w:val="none" w:sz="0" w:space="0" w:color="auto"/>
      </w:divBdr>
    </w:div>
    <w:div w:id="601498921">
      <w:bodyDiv w:val="1"/>
      <w:marLeft w:val="0"/>
      <w:marRight w:val="0"/>
      <w:marTop w:val="0"/>
      <w:marBottom w:val="0"/>
      <w:divBdr>
        <w:top w:val="none" w:sz="0" w:space="0" w:color="auto"/>
        <w:left w:val="none" w:sz="0" w:space="0" w:color="auto"/>
        <w:bottom w:val="none" w:sz="0" w:space="0" w:color="auto"/>
        <w:right w:val="none" w:sz="0" w:space="0" w:color="auto"/>
      </w:divBdr>
    </w:div>
    <w:div w:id="601844254">
      <w:bodyDiv w:val="1"/>
      <w:marLeft w:val="0"/>
      <w:marRight w:val="0"/>
      <w:marTop w:val="0"/>
      <w:marBottom w:val="0"/>
      <w:divBdr>
        <w:top w:val="none" w:sz="0" w:space="0" w:color="auto"/>
        <w:left w:val="none" w:sz="0" w:space="0" w:color="auto"/>
        <w:bottom w:val="none" w:sz="0" w:space="0" w:color="auto"/>
        <w:right w:val="none" w:sz="0" w:space="0" w:color="auto"/>
      </w:divBdr>
    </w:div>
    <w:div w:id="607154706">
      <w:bodyDiv w:val="1"/>
      <w:marLeft w:val="0"/>
      <w:marRight w:val="0"/>
      <w:marTop w:val="0"/>
      <w:marBottom w:val="0"/>
      <w:divBdr>
        <w:top w:val="none" w:sz="0" w:space="0" w:color="auto"/>
        <w:left w:val="none" w:sz="0" w:space="0" w:color="auto"/>
        <w:bottom w:val="none" w:sz="0" w:space="0" w:color="auto"/>
        <w:right w:val="none" w:sz="0" w:space="0" w:color="auto"/>
      </w:divBdr>
    </w:div>
    <w:div w:id="607931726">
      <w:bodyDiv w:val="1"/>
      <w:marLeft w:val="0"/>
      <w:marRight w:val="0"/>
      <w:marTop w:val="0"/>
      <w:marBottom w:val="0"/>
      <w:divBdr>
        <w:top w:val="none" w:sz="0" w:space="0" w:color="auto"/>
        <w:left w:val="none" w:sz="0" w:space="0" w:color="auto"/>
        <w:bottom w:val="none" w:sz="0" w:space="0" w:color="auto"/>
        <w:right w:val="none" w:sz="0" w:space="0" w:color="auto"/>
      </w:divBdr>
    </w:div>
    <w:div w:id="612251999">
      <w:bodyDiv w:val="1"/>
      <w:marLeft w:val="0"/>
      <w:marRight w:val="0"/>
      <w:marTop w:val="0"/>
      <w:marBottom w:val="0"/>
      <w:divBdr>
        <w:top w:val="none" w:sz="0" w:space="0" w:color="auto"/>
        <w:left w:val="none" w:sz="0" w:space="0" w:color="auto"/>
        <w:bottom w:val="none" w:sz="0" w:space="0" w:color="auto"/>
        <w:right w:val="none" w:sz="0" w:space="0" w:color="auto"/>
      </w:divBdr>
    </w:div>
    <w:div w:id="614094709">
      <w:bodyDiv w:val="1"/>
      <w:marLeft w:val="0"/>
      <w:marRight w:val="0"/>
      <w:marTop w:val="0"/>
      <w:marBottom w:val="0"/>
      <w:divBdr>
        <w:top w:val="none" w:sz="0" w:space="0" w:color="auto"/>
        <w:left w:val="none" w:sz="0" w:space="0" w:color="auto"/>
        <w:bottom w:val="none" w:sz="0" w:space="0" w:color="auto"/>
        <w:right w:val="none" w:sz="0" w:space="0" w:color="auto"/>
      </w:divBdr>
    </w:div>
    <w:div w:id="616108168">
      <w:bodyDiv w:val="1"/>
      <w:marLeft w:val="0"/>
      <w:marRight w:val="0"/>
      <w:marTop w:val="0"/>
      <w:marBottom w:val="0"/>
      <w:divBdr>
        <w:top w:val="none" w:sz="0" w:space="0" w:color="auto"/>
        <w:left w:val="none" w:sz="0" w:space="0" w:color="auto"/>
        <w:bottom w:val="none" w:sz="0" w:space="0" w:color="auto"/>
        <w:right w:val="none" w:sz="0" w:space="0" w:color="auto"/>
      </w:divBdr>
    </w:div>
    <w:div w:id="618414061">
      <w:bodyDiv w:val="1"/>
      <w:marLeft w:val="0"/>
      <w:marRight w:val="0"/>
      <w:marTop w:val="0"/>
      <w:marBottom w:val="0"/>
      <w:divBdr>
        <w:top w:val="none" w:sz="0" w:space="0" w:color="auto"/>
        <w:left w:val="none" w:sz="0" w:space="0" w:color="auto"/>
        <w:bottom w:val="none" w:sz="0" w:space="0" w:color="auto"/>
        <w:right w:val="none" w:sz="0" w:space="0" w:color="auto"/>
      </w:divBdr>
    </w:div>
    <w:div w:id="621691051">
      <w:bodyDiv w:val="1"/>
      <w:marLeft w:val="0"/>
      <w:marRight w:val="0"/>
      <w:marTop w:val="0"/>
      <w:marBottom w:val="0"/>
      <w:divBdr>
        <w:top w:val="none" w:sz="0" w:space="0" w:color="auto"/>
        <w:left w:val="none" w:sz="0" w:space="0" w:color="auto"/>
        <w:bottom w:val="none" w:sz="0" w:space="0" w:color="auto"/>
        <w:right w:val="none" w:sz="0" w:space="0" w:color="auto"/>
      </w:divBdr>
    </w:div>
    <w:div w:id="622661166">
      <w:bodyDiv w:val="1"/>
      <w:marLeft w:val="0"/>
      <w:marRight w:val="0"/>
      <w:marTop w:val="0"/>
      <w:marBottom w:val="0"/>
      <w:divBdr>
        <w:top w:val="none" w:sz="0" w:space="0" w:color="auto"/>
        <w:left w:val="none" w:sz="0" w:space="0" w:color="auto"/>
        <w:bottom w:val="none" w:sz="0" w:space="0" w:color="auto"/>
        <w:right w:val="none" w:sz="0" w:space="0" w:color="auto"/>
      </w:divBdr>
    </w:div>
    <w:div w:id="624430474">
      <w:bodyDiv w:val="1"/>
      <w:marLeft w:val="0"/>
      <w:marRight w:val="0"/>
      <w:marTop w:val="0"/>
      <w:marBottom w:val="0"/>
      <w:divBdr>
        <w:top w:val="none" w:sz="0" w:space="0" w:color="auto"/>
        <w:left w:val="none" w:sz="0" w:space="0" w:color="auto"/>
        <w:bottom w:val="none" w:sz="0" w:space="0" w:color="auto"/>
        <w:right w:val="none" w:sz="0" w:space="0" w:color="auto"/>
      </w:divBdr>
    </w:div>
    <w:div w:id="634529174">
      <w:bodyDiv w:val="1"/>
      <w:marLeft w:val="0"/>
      <w:marRight w:val="0"/>
      <w:marTop w:val="0"/>
      <w:marBottom w:val="0"/>
      <w:divBdr>
        <w:top w:val="none" w:sz="0" w:space="0" w:color="auto"/>
        <w:left w:val="none" w:sz="0" w:space="0" w:color="auto"/>
        <w:bottom w:val="none" w:sz="0" w:space="0" w:color="auto"/>
        <w:right w:val="none" w:sz="0" w:space="0" w:color="auto"/>
      </w:divBdr>
    </w:div>
    <w:div w:id="636179245">
      <w:bodyDiv w:val="1"/>
      <w:marLeft w:val="0"/>
      <w:marRight w:val="0"/>
      <w:marTop w:val="0"/>
      <w:marBottom w:val="0"/>
      <w:divBdr>
        <w:top w:val="none" w:sz="0" w:space="0" w:color="auto"/>
        <w:left w:val="none" w:sz="0" w:space="0" w:color="auto"/>
        <w:bottom w:val="none" w:sz="0" w:space="0" w:color="auto"/>
        <w:right w:val="none" w:sz="0" w:space="0" w:color="auto"/>
      </w:divBdr>
    </w:div>
    <w:div w:id="640235203">
      <w:bodyDiv w:val="1"/>
      <w:marLeft w:val="0"/>
      <w:marRight w:val="0"/>
      <w:marTop w:val="0"/>
      <w:marBottom w:val="0"/>
      <w:divBdr>
        <w:top w:val="none" w:sz="0" w:space="0" w:color="auto"/>
        <w:left w:val="none" w:sz="0" w:space="0" w:color="auto"/>
        <w:bottom w:val="none" w:sz="0" w:space="0" w:color="auto"/>
        <w:right w:val="none" w:sz="0" w:space="0" w:color="auto"/>
      </w:divBdr>
    </w:div>
    <w:div w:id="641037483">
      <w:bodyDiv w:val="1"/>
      <w:marLeft w:val="0"/>
      <w:marRight w:val="0"/>
      <w:marTop w:val="0"/>
      <w:marBottom w:val="0"/>
      <w:divBdr>
        <w:top w:val="none" w:sz="0" w:space="0" w:color="auto"/>
        <w:left w:val="none" w:sz="0" w:space="0" w:color="auto"/>
        <w:bottom w:val="none" w:sz="0" w:space="0" w:color="auto"/>
        <w:right w:val="none" w:sz="0" w:space="0" w:color="auto"/>
      </w:divBdr>
    </w:div>
    <w:div w:id="642664524">
      <w:bodyDiv w:val="1"/>
      <w:marLeft w:val="0"/>
      <w:marRight w:val="0"/>
      <w:marTop w:val="0"/>
      <w:marBottom w:val="0"/>
      <w:divBdr>
        <w:top w:val="none" w:sz="0" w:space="0" w:color="auto"/>
        <w:left w:val="none" w:sz="0" w:space="0" w:color="auto"/>
        <w:bottom w:val="none" w:sz="0" w:space="0" w:color="auto"/>
        <w:right w:val="none" w:sz="0" w:space="0" w:color="auto"/>
      </w:divBdr>
    </w:div>
    <w:div w:id="644548592">
      <w:bodyDiv w:val="1"/>
      <w:marLeft w:val="0"/>
      <w:marRight w:val="0"/>
      <w:marTop w:val="0"/>
      <w:marBottom w:val="0"/>
      <w:divBdr>
        <w:top w:val="none" w:sz="0" w:space="0" w:color="auto"/>
        <w:left w:val="none" w:sz="0" w:space="0" w:color="auto"/>
        <w:bottom w:val="none" w:sz="0" w:space="0" w:color="auto"/>
        <w:right w:val="none" w:sz="0" w:space="0" w:color="auto"/>
      </w:divBdr>
    </w:div>
    <w:div w:id="645666402">
      <w:bodyDiv w:val="1"/>
      <w:marLeft w:val="0"/>
      <w:marRight w:val="0"/>
      <w:marTop w:val="0"/>
      <w:marBottom w:val="0"/>
      <w:divBdr>
        <w:top w:val="none" w:sz="0" w:space="0" w:color="auto"/>
        <w:left w:val="none" w:sz="0" w:space="0" w:color="auto"/>
        <w:bottom w:val="none" w:sz="0" w:space="0" w:color="auto"/>
        <w:right w:val="none" w:sz="0" w:space="0" w:color="auto"/>
      </w:divBdr>
    </w:div>
    <w:div w:id="648829514">
      <w:bodyDiv w:val="1"/>
      <w:marLeft w:val="0"/>
      <w:marRight w:val="0"/>
      <w:marTop w:val="0"/>
      <w:marBottom w:val="0"/>
      <w:divBdr>
        <w:top w:val="none" w:sz="0" w:space="0" w:color="auto"/>
        <w:left w:val="none" w:sz="0" w:space="0" w:color="auto"/>
        <w:bottom w:val="none" w:sz="0" w:space="0" w:color="auto"/>
        <w:right w:val="none" w:sz="0" w:space="0" w:color="auto"/>
      </w:divBdr>
    </w:div>
    <w:div w:id="654918616">
      <w:bodyDiv w:val="1"/>
      <w:marLeft w:val="0"/>
      <w:marRight w:val="0"/>
      <w:marTop w:val="0"/>
      <w:marBottom w:val="0"/>
      <w:divBdr>
        <w:top w:val="none" w:sz="0" w:space="0" w:color="auto"/>
        <w:left w:val="none" w:sz="0" w:space="0" w:color="auto"/>
        <w:bottom w:val="none" w:sz="0" w:space="0" w:color="auto"/>
        <w:right w:val="none" w:sz="0" w:space="0" w:color="auto"/>
      </w:divBdr>
    </w:div>
    <w:div w:id="660886064">
      <w:bodyDiv w:val="1"/>
      <w:marLeft w:val="0"/>
      <w:marRight w:val="0"/>
      <w:marTop w:val="0"/>
      <w:marBottom w:val="0"/>
      <w:divBdr>
        <w:top w:val="none" w:sz="0" w:space="0" w:color="auto"/>
        <w:left w:val="none" w:sz="0" w:space="0" w:color="auto"/>
        <w:bottom w:val="none" w:sz="0" w:space="0" w:color="auto"/>
        <w:right w:val="none" w:sz="0" w:space="0" w:color="auto"/>
      </w:divBdr>
    </w:div>
    <w:div w:id="662900650">
      <w:bodyDiv w:val="1"/>
      <w:marLeft w:val="0"/>
      <w:marRight w:val="0"/>
      <w:marTop w:val="0"/>
      <w:marBottom w:val="0"/>
      <w:divBdr>
        <w:top w:val="none" w:sz="0" w:space="0" w:color="auto"/>
        <w:left w:val="none" w:sz="0" w:space="0" w:color="auto"/>
        <w:bottom w:val="none" w:sz="0" w:space="0" w:color="auto"/>
        <w:right w:val="none" w:sz="0" w:space="0" w:color="auto"/>
      </w:divBdr>
    </w:div>
    <w:div w:id="667827467">
      <w:bodyDiv w:val="1"/>
      <w:marLeft w:val="0"/>
      <w:marRight w:val="0"/>
      <w:marTop w:val="0"/>
      <w:marBottom w:val="0"/>
      <w:divBdr>
        <w:top w:val="none" w:sz="0" w:space="0" w:color="auto"/>
        <w:left w:val="none" w:sz="0" w:space="0" w:color="auto"/>
        <w:bottom w:val="none" w:sz="0" w:space="0" w:color="auto"/>
        <w:right w:val="none" w:sz="0" w:space="0" w:color="auto"/>
      </w:divBdr>
    </w:div>
    <w:div w:id="670135148">
      <w:bodyDiv w:val="1"/>
      <w:marLeft w:val="0"/>
      <w:marRight w:val="0"/>
      <w:marTop w:val="0"/>
      <w:marBottom w:val="0"/>
      <w:divBdr>
        <w:top w:val="none" w:sz="0" w:space="0" w:color="auto"/>
        <w:left w:val="none" w:sz="0" w:space="0" w:color="auto"/>
        <w:bottom w:val="none" w:sz="0" w:space="0" w:color="auto"/>
        <w:right w:val="none" w:sz="0" w:space="0" w:color="auto"/>
      </w:divBdr>
    </w:div>
    <w:div w:id="675620639">
      <w:bodyDiv w:val="1"/>
      <w:marLeft w:val="0"/>
      <w:marRight w:val="0"/>
      <w:marTop w:val="0"/>
      <w:marBottom w:val="0"/>
      <w:divBdr>
        <w:top w:val="none" w:sz="0" w:space="0" w:color="auto"/>
        <w:left w:val="none" w:sz="0" w:space="0" w:color="auto"/>
        <w:bottom w:val="none" w:sz="0" w:space="0" w:color="auto"/>
        <w:right w:val="none" w:sz="0" w:space="0" w:color="auto"/>
      </w:divBdr>
    </w:div>
    <w:div w:id="688456812">
      <w:bodyDiv w:val="1"/>
      <w:marLeft w:val="0"/>
      <w:marRight w:val="0"/>
      <w:marTop w:val="0"/>
      <w:marBottom w:val="0"/>
      <w:divBdr>
        <w:top w:val="none" w:sz="0" w:space="0" w:color="auto"/>
        <w:left w:val="none" w:sz="0" w:space="0" w:color="auto"/>
        <w:bottom w:val="none" w:sz="0" w:space="0" w:color="auto"/>
        <w:right w:val="none" w:sz="0" w:space="0" w:color="auto"/>
      </w:divBdr>
    </w:div>
    <w:div w:id="688919762">
      <w:bodyDiv w:val="1"/>
      <w:marLeft w:val="0"/>
      <w:marRight w:val="0"/>
      <w:marTop w:val="0"/>
      <w:marBottom w:val="0"/>
      <w:divBdr>
        <w:top w:val="none" w:sz="0" w:space="0" w:color="auto"/>
        <w:left w:val="none" w:sz="0" w:space="0" w:color="auto"/>
        <w:bottom w:val="none" w:sz="0" w:space="0" w:color="auto"/>
        <w:right w:val="none" w:sz="0" w:space="0" w:color="auto"/>
      </w:divBdr>
    </w:div>
    <w:div w:id="692924541">
      <w:bodyDiv w:val="1"/>
      <w:marLeft w:val="0"/>
      <w:marRight w:val="0"/>
      <w:marTop w:val="0"/>
      <w:marBottom w:val="0"/>
      <w:divBdr>
        <w:top w:val="none" w:sz="0" w:space="0" w:color="auto"/>
        <w:left w:val="none" w:sz="0" w:space="0" w:color="auto"/>
        <w:bottom w:val="none" w:sz="0" w:space="0" w:color="auto"/>
        <w:right w:val="none" w:sz="0" w:space="0" w:color="auto"/>
      </w:divBdr>
    </w:div>
    <w:div w:id="697390200">
      <w:bodyDiv w:val="1"/>
      <w:marLeft w:val="0"/>
      <w:marRight w:val="0"/>
      <w:marTop w:val="0"/>
      <w:marBottom w:val="0"/>
      <w:divBdr>
        <w:top w:val="none" w:sz="0" w:space="0" w:color="auto"/>
        <w:left w:val="none" w:sz="0" w:space="0" w:color="auto"/>
        <w:bottom w:val="none" w:sz="0" w:space="0" w:color="auto"/>
        <w:right w:val="none" w:sz="0" w:space="0" w:color="auto"/>
      </w:divBdr>
    </w:div>
    <w:div w:id="700319793">
      <w:bodyDiv w:val="1"/>
      <w:marLeft w:val="0"/>
      <w:marRight w:val="0"/>
      <w:marTop w:val="0"/>
      <w:marBottom w:val="0"/>
      <w:divBdr>
        <w:top w:val="none" w:sz="0" w:space="0" w:color="auto"/>
        <w:left w:val="none" w:sz="0" w:space="0" w:color="auto"/>
        <w:bottom w:val="none" w:sz="0" w:space="0" w:color="auto"/>
        <w:right w:val="none" w:sz="0" w:space="0" w:color="auto"/>
      </w:divBdr>
    </w:div>
    <w:div w:id="703561047">
      <w:bodyDiv w:val="1"/>
      <w:marLeft w:val="0"/>
      <w:marRight w:val="0"/>
      <w:marTop w:val="0"/>
      <w:marBottom w:val="0"/>
      <w:divBdr>
        <w:top w:val="none" w:sz="0" w:space="0" w:color="auto"/>
        <w:left w:val="none" w:sz="0" w:space="0" w:color="auto"/>
        <w:bottom w:val="none" w:sz="0" w:space="0" w:color="auto"/>
        <w:right w:val="none" w:sz="0" w:space="0" w:color="auto"/>
      </w:divBdr>
    </w:div>
    <w:div w:id="707148951">
      <w:bodyDiv w:val="1"/>
      <w:marLeft w:val="0"/>
      <w:marRight w:val="0"/>
      <w:marTop w:val="0"/>
      <w:marBottom w:val="0"/>
      <w:divBdr>
        <w:top w:val="none" w:sz="0" w:space="0" w:color="auto"/>
        <w:left w:val="none" w:sz="0" w:space="0" w:color="auto"/>
        <w:bottom w:val="none" w:sz="0" w:space="0" w:color="auto"/>
        <w:right w:val="none" w:sz="0" w:space="0" w:color="auto"/>
      </w:divBdr>
    </w:div>
    <w:div w:id="707150146">
      <w:bodyDiv w:val="1"/>
      <w:marLeft w:val="0"/>
      <w:marRight w:val="0"/>
      <w:marTop w:val="0"/>
      <w:marBottom w:val="0"/>
      <w:divBdr>
        <w:top w:val="none" w:sz="0" w:space="0" w:color="auto"/>
        <w:left w:val="none" w:sz="0" w:space="0" w:color="auto"/>
        <w:bottom w:val="none" w:sz="0" w:space="0" w:color="auto"/>
        <w:right w:val="none" w:sz="0" w:space="0" w:color="auto"/>
      </w:divBdr>
    </w:div>
    <w:div w:id="710767163">
      <w:bodyDiv w:val="1"/>
      <w:marLeft w:val="0"/>
      <w:marRight w:val="0"/>
      <w:marTop w:val="0"/>
      <w:marBottom w:val="0"/>
      <w:divBdr>
        <w:top w:val="none" w:sz="0" w:space="0" w:color="auto"/>
        <w:left w:val="none" w:sz="0" w:space="0" w:color="auto"/>
        <w:bottom w:val="none" w:sz="0" w:space="0" w:color="auto"/>
        <w:right w:val="none" w:sz="0" w:space="0" w:color="auto"/>
      </w:divBdr>
    </w:div>
    <w:div w:id="712121026">
      <w:bodyDiv w:val="1"/>
      <w:marLeft w:val="0"/>
      <w:marRight w:val="0"/>
      <w:marTop w:val="0"/>
      <w:marBottom w:val="0"/>
      <w:divBdr>
        <w:top w:val="none" w:sz="0" w:space="0" w:color="auto"/>
        <w:left w:val="none" w:sz="0" w:space="0" w:color="auto"/>
        <w:bottom w:val="none" w:sz="0" w:space="0" w:color="auto"/>
        <w:right w:val="none" w:sz="0" w:space="0" w:color="auto"/>
      </w:divBdr>
    </w:div>
    <w:div w:id="712774928">
      <w:bodyDiv w:val="1"/>
      <w:marLeft w:val="0"/>
      <w:marRight w:val="0"/>
      <w:marTop w:val="0"/>
      <w:marBottom w:val="0"/>
      <w:divBdr>
        <w:top w:val="none" w:sz="0" w:space="0" w:color="auto"/>
        <w:left w:val="none" w:sz="0" w:space="0" w:color="auto"/>
        <w:bottom w:val="none" w:sz="0" w:space="0" w:color="auto"/>
        <w:right w:val="none" w:sz="0" w:space="0" w:color="auto"/>
      </w:divBdr>
    </w:div>
    <w:div w:id="720373346">
      <w:bodyDiv w:val="1"/>
      <w:marLeft w:val="0"/>
      <w:marRight w:val="0"/>
      <w:marTop w:val="0"/>
      <w:marBottom w:val="0"/>
      <w:divBdr>
        <w:top w:val="none" w:sz="0" w:space="0" w:color="auto"/>
        <w:left w:val="none" w:sz="0" w:space="0" w:color="auto"/>
        <w:bottom w:val="none" w:sz="0" w:space="0" w:color="auto"/>
        <w:right w:val="none" w:sz="0" w:space="0" w:color="auto"/>
      </w:divBdr>
    </w:div>
    <w:div w:id="724959824">
      <w:bodyDiv w:val="1"/>
      <w:marLeft w:val="0"/>
      <w:marRight w:val="0"/>
      <w:marTop w:val="0"/>
      <w:marBottom w:val="0"/>
      <w:divBdr>
        <w:top w:val="none" w:sz="0" w:space="0" w:color="auto"/>
        <w:left w:val="none" w:sz="0" w:space="0" w:color="auto"/>
        <w:bottom w:val="none" w:sz="0" w:space="0" w:color="auto"/>
        <w:right w:val="none" w:sz="0" w:space="0" w:color="auto"/>
      </w:divBdr>
    </w:div>
    <w:div w:id="724984246">
      <w:bodyDiv w:val="1"/>
      <w:marLeft w:val="0"/>
      <w:marRight w:val="0"/>
      <w:marTop w:val="0"/>
      <w:marBottom w:val="0"/>
      <w:divBdr>
        <w:top w:val="none" w:sz="0" w:space="0" w:color="auto"/>
        <w:left w:val="none" w:sz="0" w:space="0" w:color="auto"/>
        <w:bottom w:val="none" w:sz="0" w:space="0" w:color="auto"/>
        <w:right w:val="none" w:sz="0" w:space="0" w:color="auto"/>
      </w:divBdr>
    </w:div>
    <w:div w:id="727151486">
      <w:bodyDiv w:val="1"/>
      <w:marLeft w:val="0"/>
      <w:marRight w:val="0"/>
      <w:marTop w:val="0"/>
      <w:marBottom w:val="0"/>
      <w:divBdr>
        <w:top w:val="none" w:sz="0" w:space="0" w:color="auto"/>
        <w:left w:val="none" w:sz="0" w:space="0" w:color="auto"/>
        <w:bottom w:val="none" w:sz="0" w:space="0" w:color="auto"/>
        <w:right w:val="none" w:sz="0" w:space="0" w:color="auto"/>
      </w:divBdr>
    </w:div>
    <w:div w:id="730615570">
      <w:bodyDiv w:val="1"/>
      <w:marLeft w:val="0"/>
      <w:marRight w:val="0"/>
      <w:marTop w:val="0"/>
      <w:marBottom w:val="0"/>
      <w:divBdr>
        <w:top w:val="none" w:sz="0" w:space="0" w:color="auto"/>
        <w:left w:val="none" w:sz="0" w:space="0" w:color="auto"/>
        <w:bottom w:val="none" w:sz="0" w:space="0" w:color="auto"/>
        <w:right w:val="none" w:sz="0" w:space="0" w:color="auto"/>
      </w:divBdr>
    </w:div>
    <w:div w:id="733818012">
      <w:bodyDiv w:val="1"/>
      <w:marLeft w:val="0"/>
      <w:marRight w:val="0"/>
      <w:marTop w:val="0"/>
      <w:marBottom w:val="0"/>
      <w:divBdr>
        <w:top w:val="none" w:sz="0" w:space="0" w:color="auto"/>
        <w:left w:val="none" w:sz="0" w:space="0" w:color="auto"/>
        <w:bottom w:val="none" w:sz="0" w:space="0" w:color="auto"/>
        <w:right w:val="none" w:sz="0" w:space="0" w:color="auto"/>
      </w:divBdr>
    </w:div>
    <w:div w:id="735248757">
      <w:bodyDiv w:val="1"/>
      <w:marLeft w:val="0"/>
      <w:marRight w:val="0"/>
      <w:marTop w:val="0"/>
      <w:marBottom w:val="0"/>
      <w:divBdr>
        <w:top w:val="none" w:sz="0" w:space="0" w:color="auto"/>
        <w:left w:val="none" w:sz="0" w:space="0" w:color="auto"/>
        <w:bottom w:val="none" w:sz="0" w:space="0" w:color="auto"/>
        <w:right w:val="none" w:sz="0" w:space="0" w:color="auto"/>
      </w:divBdr>
    </w:div>
    <w:div w:id="736169028">
      <w:bodyDiv w:val="1"/>
      <w:marLeft w:val="0"/>
      <w:marRight w:val="0"/>
      <w:marTop w:val="0"/>
      <w:marBottom w:val="0"/>
      <w:divBdr>
        <w:top w:val="none" w:sz="0" w:space="0" w:color="auto"/>
        <w:left w:val="none" w:sz="0" w:space="0" w:color="auto"/>
        <w:bottom w:val="none" w:sz="0" w:space="0" w:color="auto"/>
        <w:right w:val="none" w:sz="0" w:space="0" w:color="auto"/>
      </w:divBdr>
    </w:div>
    <w:div w:id="738097562">
      <w:bodyDiv w:val="1"/>
      <w:marLeft w:val="0"/>
      <w:marRight w:val="0"/>
      <w:marTop w:val="0"/>
      <w:marBottom w:val="0"/>
      <w:divBdr>
        <w:top w:val="none" w:sz="0" w:space="0" w:color="auto"/>
        <w:left w:val="none" w:sz="0" w:space="0" w:color="auto"/>
        <w:bottom w:val="none" w:sz="0" w:space="0" w:color="auto"/>
        <w:right w:val="none" w:sz="0" w:space="0" w:color="auto"/>
      </w:divBdr>
    </w:div>
    <w:div w:id="743531112">
      <w:bodyDiv w:val="1"/>
      <w:marLeft w:val="0"/>
      <w:marRight w:val="0"/>
      <w:marTop w:val="0"/>
      <w:marBottom w:val="0"/>
      <w:divBdr>
        <w:top w:val="none" w:sz="0" w:space="0" w:color="auto"/>
        <w:left w:val="none" w:sz="0" w:space="0" w:color="auto"/>
        <w:bottom w:val="none" w:sz="0" w:space="0" w:color="auto"/>
        <w:right w:val="none" w:sz="0" w:space="0" w:color="auto"/>
      </w:divBdr>
    </w:div>
    <w:div w:id="751779456">
      <w:bodyDiv w:val="1"/>
      <w:marLeft w:val="0"/>
      <w:marRight w:val="0"/>
      <w:marTop w:val="0"/>
      <w:marBottom w:val="0"/>
      <w:divBdr>
        <w:top w:val="none" w:sz="0" w:space="0" w:color="auto"/>
        <w:left w:val="none" w:sz="0" w:space="0" w:color="auto"/>
        <w:bottom w:val="none" w:sz="0" w:space="0" w:color="auto"/>
        <w:right w:val="none" w:sz="0" w:space="0" w:color="auto"/>
      </w:divBdr>
    </w:div>
    <w:div w:id="753746219">
      <w:bodyDiv w:val="1"/>
      <w:marLeft w:val="0"/>
      <w:marRight w:val="0"/>
      <w:marTop w:val="0"/>
      <w:marBottom w:val="0"/>
      <w:divBdr>
        <w:top w:val="none" w:sz="0" w:space="0" w:color="auto"/>
        <w:left w:val="none" w:sz="0" w:space="0" w:color="auto"/>
        <w:bottom w:val="none" w:sz="0" w:space="0" w:color="auto"/>
        <w:right w:val="none" w:sz="0" w:space="0" w:color="auto"/>
      </w:divBdr>
    </w:div>
    <w:div w:id="758067889">
      <w:bodyDiv w:val="1"/>
      <w:marLeft w:val="0"/>
      <w:marRight w:val="0"/>
      <w:marTop w:val="0"/>
      <w:marBottom w:val="0"/>
      <w:divBdr>
        <w:top w:val="none" w:sz="0" w:space="0" w:color="auto"/>
        <w:left w:val="none" w:sz="0" w:space="0" w:color="auto"/>
        <w:bottom w:val="none" w:sz="0" w:space="0" w:color="auto"/>
        <w:right w:val="none" w:sz="0" w:space="0" w:color="auto"/>
      </w:divBdr>
    </w:div>
    <w:div w:id="760103632">
      <w:bodyDiv w:val="1"/>
      <w:marLeft w:val="0"/>
      <w:marRight w:val="0"/>
      <w:marTop w:val="0"/>
      <w:marBottom w:val="0"/>
      <w:divBdr>
        <w:top w:val="none" w:sz="0" w:space="0" w:color="auto"/>
        <w:left w:val="none" w:sz="0" w:space="0" w:color="auto"/>
        <w:bottom w:val="none" w:sz="0" w:space="0" w:color="auto"/>
        <w:right w:val="none" w:sz="0" w:space="0" w:color="auto"/>
      </w:divBdr>
    </w:div>
    <w:div w:id="764496737">
      <w:bodyDiv w:val="1"/>
      <w:marLeft w:val="0"/>
      <w:marRight w:val="0"/>
      <w:marTop w:val="0"/>
      <w:marBottom w:val="0"/>
      <w:divBdr>
        <w:top w:val="none" w:sz="0" w:space="0" w:color="auto"/>
        <w:left w:val="none" w:sz="0" w:space="0" w:color="auto"/>
        <w:bottom w:val="none" w:sz="0" w:space="0" w:color="auto"/>
        <w:right w:val="none" w:sz="0" w:space="0" w:color="auto"/>
      </w:divBdr>
    </w:div>
    <w:div w:id="770662248">
      <w:bodyDiv w:val="1"/>
      <w:marLeft w:val="0"/>
      <w:marRight w:val="0"/>
      <w:marTop w:val="0"/>
      <w:marBottom w:val="0"/>
      <w:divBdr>
        <w:top w:val="none" w:sz="0" w:space="0" w:color="auto"/>
        <w:left w:val="none" w:sz="0" w:space="0" w:color="auto"/>
        <w:bottom w:val="none" w:sz="0" w:space="0" w:color="auto"/>
        <w:right w:val="none" w:sz="0" w:space="0" w:color="auto"/>
      </w:divBdr>
    </w:div>
    <w:div w:id="770858434">
      <w:bodyDiv w:val="1"/>
      <w:marLeft w:val="0"/>
      <w:marRight w:val="0"/>
      <w:marTop w:val="0"/>
      <w:marBottom w:val="0"/>
      <w:divBdr>
        <w:top w:val="none" w:sz="0" w:space="0" w:color="auto"/>
        <w:left w:val="none" w:sz="0" w:space="0" w:color="auto"/>
        <w:bottom w:val="none" w:sz="0" w:space="0" w:color="auto"/>
        <w:right w:val="none" w:sz="0" w:space="0" w:color="auto"/>
      </w:divBdr>
    </w:div>
    <w:div w:id="773591983">
      <w:bodyDiv w:val="1"/>
      <w:marLeft w:val="0"/>
      <w:marRight w:val="0"/>
      <w:marTop w:val="0"/>
      <w:marBottom w:val="0"/>
      <w:divBdr>
        <w:top w:val="none" w:sz="0" w:space="0" w:color="auto"/>
        <w:left w:val="none" w:sz="0" w:space="0" w:color="auto"/>
        <w:bottom w:val="none" w:sz="0" w:space="0" w:color="auto"/>
        <w:right w:val="none" w:sz="0" w:space="0" w:color="auto"/>
      </w:divBdr>
    </w:div>
    <w:div w:id="773865591">
      <w:bodyDiv w:val="1"/>
      <w:marLeft w:val="0"/>
      <w:marRight w:val="0"/>
      <w:marTop w:val="0"/>
      <w:marBottom w:val="0"/>
      <w:divBdr>
        <w:top w:val="none" w:sz="0" w:space="0" w:color="auto"/>
        <w:left w:val="none" w:sz="0" w:space="0" w:color="auto"/>
        <w:bottom w:val="none" w:sz="0" w:space="0" w:color="auto"/>
        <w:right w:val="none" w:sz="0" w:space="0" w:color="auto"/>
      </w:divBdr>
    </w:div>
    <w:div w:id="777725254">
      <w:bodyDiv w:val="1"/>
      <w:marLeft w:val="0"/>
      <w:marRight w:val="0"/>
      <w:marTop w:val="0"/>
      <w:marBottom w:val="0"/>
      <w:divBdr>
        <w:top w:val="none" w:sz="0" w:space="0" w:color="auto"/>
        <w:left w:val="none" w:sz="0" w:space="0" w:color="auto"/>
        <w:bottom w:val="none" w:sz="0" w:space="0" w:color="auto"/>
        <w:right w:val="none" w:sz="0" w:space="0" w:color="auto"/>
      </w:divBdr>
    </w:div>
    <w:div w:id="786118940">
      <w:bodyDiv w:val="1"/>
      <w:marLeft w:val="0"/>
      <w:marRight w:val="0"/>
      <w:marTop w:val="0"/>
      <w:marBottom w:val="0"/>
      <w:divBdr>
        <w:top w:val="none" w:sz="0" w:space="0" w:color="auto"/>
        <w:left w:val="none" w:sz="0" w:space="0" w:color="auto"/>
        <w:bottom w:val="none" w:sz="0" w:space="0" w:color="auto"/>
        <w:right w:val="none" w:sz="0" w:space="0" w:color="auto"/>
      </w:divBdr>
    </w:div>
    <w:div w:id="787941181">
      <w:bodyDiv w:val="1"/>
      <w:marLeft w:val="0"/>
      <w:marRight w:val="0"/>
      <w:marTop w:val="0"/>
      <w:marBottom w:val="0"/>
      <w:divBdr>
        <w:top w:val="none" w:sz="0" w:space="0" w:color="auto"/>
        <w:left w:val="none" w:sz="0" w:space="0" w:color="auto"/>
        <w:bottom w:val="none" w:sz="0" w:space="0" w:color="auto"/>
        <w:right w:val="none" w:sz="0" w:space="0" w:color="auto"/>
      </w:divBdr>
    </w:div>
    <w:div w:id="790322553">
      <w:bodyDiv w:val="1"/>
      <w:marLeft w:val="0"/>
      <w:marRight w:val="0"/>
      <w:marTop w:val="0"/>
      <w:marBottom w:val="0"/>
      <w:divBdr>
        <w:top w:val="none" w:sz="0" w:space="0" w:color="auto"/>
        <w:left w:val="none" w:sz="0" w:space="0" w:color="auto"/>
        <w:bottom w:val="none" w:sz="0" w:space="0" w:color="auto"/>
        <w:right w:val="none" w:sz="0" w:space="0" w:color="auto"/>
      </w:divBdr>
    </w:div>
    <w:div w:id="792673423">
      <w:bodyDiv w:val="1"/>
      <w:marLeft w:val="0"/>
      <w:marRight w:val="0"/>
      <w:marTop w:val="0"/>
      <w:marBottom w:val="0"/>
      <w:divBdr>
        <w:top w:val="none" w:sz="0" w:space="0" w:color="auto"/>
        <w:left w:val="none" w:sz="0" w:space="0" w:color="auto"/>
        <w:bottom w:val="none" w:sz="0" w:space="0" w:color="auto"/>
        <w:right w:val="none" w:sz="0" w:space="0" w:color="auto"/>
      </w:divBdr>
    </w:div>
    <w:div w:id="795030356">
      <w:bodyDiv w:val="1"/>
      <w:marLeft w:val="0"/>
      <w:marRight w:val="0"/>
      <w:marTop w:val="0"/>
      <w:marBottom w:val="0"/>
      <w:divBdr>
        <w:top w:val="none" w:sz="0" w:space="0" w:color="auto"/>
        <w:left w:val="none" w:sz="0" w:space="0" w:color="auto"/>
        <w:bottom w:val="none" w:sz="0" w:space="0" w:color="auto"/>
        <w:right w:val="none" w:sz="0" w:space="0" w:color="auto"/>
      </w:divBdr>
    </w:div>
    <w:div w:id="796140356">
      <w:bodyDiv w:val="1"/>
      <w:marLeft w:val="0"/>
      <w:marRight w:val="0"/>
      <w:marTop w:val="0"/>
      <w:marBottom w:val="0"/>
      <w:divBdr>
        <w:top w:val="none" w:sz="0" w:space="0" w:color="auto"/>
        <w:left w:val="none" w:sz="0" w:space="0" w:color="auto"/>
        <w:bottom w:val="none" w:sz="0" w:space="0" w:color="auto"/>
        <w:right w:val="none" w:sz="0" w:space="0" w:color="auto"/>
      </w:divBdr>
    </w:div>
    <w:div w:id="799618271">
      <w:bodyDiv w:val="1"/>
      <w:marLeft w:val="0"/>
      <w:marRight w:val="0"/>
      <w:marTop w:val="0"/>
      <w:marBottom w:val="0"/>
      <w:divBdr>
        <w:top w:val="none" w:sz="0" w:space="0" w:color="auto"/>
        <w:left w:val="none" w:sz="0" w:space="0" w:color="auto"/>
        <w:bottom w:val="none" w:sz="0" w:space="0" w:color="auto"/>
        <w:right w:val="none" w:sz="0" w:space="0" w:color="auto"/>
      </w:divBdr>
    </w:div>
    <w:div w:id="807362495">
      <w:bodyDiv w:val="1"/>
      <w:marLeft w:val="0"/>
      <w:marRight w:val="0"/>
      <w:marTop w:val="0"/>
      <w:marBottom w:val="0"/>
      <w:divBdr>
        <w:top w:val="none" w:sz="0" w:space="0" w:color="auto"/>
        <w:left w:val="none" w:sz="0" w:space="0" w:color="auto"/>
        <w:bottom w:val="none" w:sz="0" w:space="0" w:color="auto"/>
        <w:right w:val="none" w:sz="0" w:space="0" w:color="auto"/>
      </w:divBdr>
    </w:div>
    <w:div w:id="816848825">
      <w:bodyDiv w:val="1"/>
      <w:marLeft w:val="0"/>
      <w:marRight w:val="0"/>
      <w:marTop w:val="0"/>
      <w:marBottom w:val="0"/>
      <w:divBdr>
        <w:top w:val="none" w:sz="0" w:space="0" w:color="auto"/>
        <w:left w:val="none" w:sz="0" w:space="0" w:color="auto"/>
        <w:bottom w:val="none" w:sz="0" w:space="0" w:color="auto"/>
        <w:right w:val="none" w:sz="0" w:space="0" w:color="auto"/>
      </w:divBdr>
    </w:div>
    <w:div w:id="819078875">
      <w:bodyDiv w:val="1"/>
      <w:marLeft w:val="0"/>
      <w:marRight w:val="0"/>
      <w:marTop w:val="0"/>
      <w:marBottom w:val="0"/>
      <w:divBdr>
        <w:top w:val="none" w:sz="0" w:space="0" w:color="auto"/>
        <w:left w:val="none" w:sz="0" w:space="0" w:color="auto"/>
        <w:bottom w:val="none" w:sz="0" w:space="0" w:color="auto"/>
        <w:right w:val="none" w:sz="0" w:space="0" w:color="auto"/>
      </w:divBdr>
    </w:div>
    <w:div w:id="821196759">
      <w:bodyDiv w:val="1"/>
      <w:marLeft w:val="0"/>
      <w:marRight w:val="0"/>
      <w:marTop w:val="0"/>
      <w:marBottom w:val="0"/>
      <w:divBdr>
        <w:top w:val="none" w:sz="0" w:space="0" w:color="auto"/>
        <w:left w:val="none" w:sz="0" w:space="0" w:color="auto"/>
        <w:bottom w:val="none" w:sz="0" w:space="0" w:color="auto"/>
        <w:right w:val="none" w:sz="0" w:space="0" w:color="auto"/>
      </w:divBdr>
    </w:div>
    <w:div w:id="831261216">
      <w:bodyDiv w:val="1"/>
      <w:marLeft w:val="0"/>
      <w:marRight w:val="0"/>
      <w:marTop w:val="0"/>
      <w:marBottom w:val="0"/>
      <w:divBdr>
        <w:top w:val="none" w:sz="0" w:space="0" w:color="auto"/>
        <w:left w:val="none" w:sz="0" w:space="0" w:color="auto"/>
        <w:bottom w:val="none" w:sz="0" w:space="0" w:color="auto"/>
        <w:right w:val="none" w:sz="0" w:space="0" w:color="auto"/>
      </w:divBdr>
    </w:div>
    <w:div w:id="834956354">
      <w:bodyDiv w:val="1"/>
      <w:marLeft w:val="0"/>
      <w:marRight w:val="0"/>
      <w:marTop w:val="0"/>
      <w:marBottom w:val="0"/>
      <w:divBdr>
        <w:top w:val="none" w:sz="0" w:space="0" w:color="auto"/>
        <w:left w:val="none" w:sz="0" w:space="0" w:color="auto"/>
        <w:bottom w:val="none" w:sz="0" w:space="0" w:color="auto"/>
        <w:right w:val="none" w:sz="0" w:space="0" w:color="auto"/>
      </w:divBdr>
    </w:div>
    <w:div w:id="838037511">
      <w:bodyDiv w:val="1"/>
      <w:marLeft w:val="0"/>
      <w:marRight w:val="0"/>
      <w:marTop w:val="0"/>
      <w:marBottom w:val="0"/>
      <w:divBdr>
        <w:top w:val="none" w:sz="0" w:space="0" w:color="auto"/>
        <w:left w:val="none" w:sz="0" w:space="0" w:color="auto"/>
        <w:bottom w:val="none" w:sz="0" w:space="0" w:color="auto"/>
        <w:right w:val="none" w:sz="0" w:space="0" w:color="auto"/>
      </w:divBdr>
    </w:div>
    <w:div w:id="839658568">
      <w:bodyDiv w:val="1"/>
      <w:marLeft w:val="0"/>
      <w:marRight w:val="0"/>
      <w:marTop w:val="0"/>
      <w:marBottom w:val="0"/>
      <w:divBdr>
        <w:top w:val="none" w:sz="0" w:space="0" w:color="auto"/>
        <w:left w:val="none" w:sz="0" w:space="0" w:color="auto"/>
        <w:bottom w:val="none" w:sz="0" w:space="0" w:color="auto"/>
        <w:right w:val="none" w:sz="0" w:space="0" w:color="auto"/>
      </w:divBdr>
    </w:div>
    <w:div w:id="841162216">
      <w:bodyDiv w:val="1"/>
      <w:marLeft w:val="0"/>
      <w:marRight w:val="0"/>
      <w:marTop w:val="0"/>
      <w:marBottom w:val="0"/>
      <w:divBdr>
        <w:top w:val="none" w:sz="0" w:space="0" w:color="auto"/>
        <w:left w:val="none" w:sz="0" w:space="0" w:color="auto"/>
        <w:bottom w:val="none" w:sz="0" w:space="0" w:color="auto"/>
        <w:right w:val="none" w:sz="0" w:space="0" w:color="auto"/>
      </w:divBdr>
    </w:div>
    <w:div w:id="842477882">
      <w:bodyDiv w:val="1"/>
      <w:marLeft w:val="0"/>
      <w:marRight w:val="0"/>
      <w:marTop w:val="0"/>
      <w:marBottom w:val="0"/>
      <w:divBdr>
        <w:top w:val="none" w:sz="0" w:space="0" w:color="auto"/>
        <w:left w:val="none" w:sz="0" w:space="0" w:color="auto"/>
        <w:bottom w:val="none" w:sz="0" w:space="0" w:color="auto"/>
        <w:right w:val="none" w:sz="0" w:space="0" w:color="auto"/>
      </w:divBdr>
    </w:div>
    <w:div w:id="851987780">
      <w:bodyDiv w:val="1"/>
      <w:marLeft w:val="0"/>
      <w:marRight w:val="0"/>
      <w:marTop w:val="0"/>
      <w:marBottom w:val="0"/>
      <w:divBdr>
        <w:top w:val="none" w:sz="0" w:space="0" w:color="auto"/>
        <w:left w:val="none" w:sz="0" w:space="0" w:color="auto"/>
        <w:bottom w:val="none" w:sz="0" w:space="0" w:color="auto"/>
        <w:right w:val="none" w:sz="0" w:space="0" w:color="auto"/>
      </w:divBdr>
    </w:div>
    <w:div w:id="857230952">
      <w:bodyDiv w:val="1"/>
      <w:marLeft w:val="0"/>
      <w:marRight w:val="0"/>
      <w:marTop w:val="0"/>
      <w:marBottom w:val="0"/>
      <w:divBdr>
        <w:top w:val="none" w:sz="0" w:space="0" w:color="auto"/>
        <w:left w:val="none" w:sz="0" w:space="0" w:color="auto"/>
        <w:bottom w:val="none" w:sz="0" w:space="0" w:color="auto"/>
        <w:right w:val="none" w:sz="0" w:space="0" w:color="auto"/>
      </w:divBdr>
    </w:div>
    <w:div w:id="869339075">
      <w:bodyDiv w:val="1"/>
      <w:marLeft w:val="0"/>
      <w:marRight w:val="0"/>
      <w:marTop w:val="0"/>
      <w:marBottom w:val="0"/>
      <w:divBdr>
        <w:top w:val="none" w:sz="0" w:space="0" w:color="auto"/>
        <w:left w:val="none" w:sz="0" w:space="0" w:color="auto"/>
        <w:bottom w:val="none" w:sz="0" w:space="0" w:color="auto"/>
        <w:right w:val="none" w:sz="0" w:space="0" w:color="auto"/>
      </w:divBdr>
    </w:div>
    <w:div w:id="870529800">
      <w:bodyDiv w:val="1"/>
      <w:marLeft w:val="0"/>
      <w:marRight w:val="0"/>
      <w:marTop w:val="0"/>
      <w:marBottom w:val="0"/>
      <w:divBdr>
        <w:top w:val="none" w:sz="0" w:space="0" w:color="auto"/>
        <w:left w:val="none" w:sz="0" w:space="0" w:color="auto"/>
        <w:bottom w:val="none" w:sz="0" w:space="0" w:color="auto"/>
        <w:right w:val="none" w:sz="0" w:space="0" w:color="auto"/>
      </w:divBdr>
    </w:div>
    <w:div w:id="871695355">
      <w:bodyDiv w:val="1"/>
      <w:marLeft w:val="0"/>
      <w:marRight w:val="0"/>
      <w:marTop w:val="0"/>
      <w:marBottom w:val="0"/>
      <w:divBdr>
        <w:top w:val="none" w:sz="0" w:space="0" w:color="auto"/>
        <w:left w:val="none" w:sz="0" w:space="0" w:color="auto"/>
        <w:bottom w:val="none" w:sz="0" w:space="0" w:color="auto"/>
        <w:right w:val="none" w:sz="0" w:space="0" w:color="auto"/>
      </w:divBdr>
    </w:div>
    <w:div w:id="877474064">
      <w:bodyDiv w:val="1"/>
      <w:marLeft w:val="0"/>
      <w:marRight w:val="0"/>
      <w:marTop w:val="0"/>
      <w:marBottom w:val="0"/>
      <w:divBdr>
        <w:top w:val="none" w:sz="0" w:space="0" w:color="auto"/>
        <w:left w:val="none" w:sz="0" w:space="0" w:color="auto"/>
        <w:bottom w:val="none" w:sz="0" w:space="0" w:color="auto"/>
        <w:right w:val="none" w:sz="0" w:space="0" w:color="auto"/>
      </w:divBdr>
    </w:div>
    <w:div w:id="884566172">
      <w:bodyDiv w:val="1"/>
      <w:marLeft w:val="0"/>
      <w:marRight w:val="0"/>
      <w:marTop w:val="0"/>
      <w:marBottom w:val="0"/>
      <w:divBdr>
        <w:top w:val="none" w:sz="0" w:space="0" w:color="auto"/>
        <w:left w:val="none" w:sz="0" w:space="0" w:color="auto"/>
        <w:bottom w:val="none" w:sz="0" w:space="0" w:color="auto"/>
        <w:right w:val="none" w:sz="0" w:space="0" w:color="auto"/>
      </w:divBdr>
    </w:div>
    <w:div w:id="886454067">
      <w:bodyDiv w:val="1"/>
      <w:marLeft w:val="0"/>
      <w:marRight w:val="0"/>
      <w:marTop w:val="0"/>
      <w:marBottom w:val="0"/>
      <w:divBdr>
        <w:top w:val="none" w:sz="0" w:space="0" w:color="auto"/>
        <w:left w:val="none" w:sz="0" w:space="0" w:color="auto"/>
        <w:bottom w:val="none" w:sz="0" w:space="0" w:color="auto"/>
        <w:right w:val="none" w:sz="0" w:space="0" w:color="auto"/>
      </w:divBdr>
    </w:div>
    <w:div w:id="896553556">
      <w:bodyDiv w:val="1"/>
      <w:marLeft w:val="0"/>
      <w:marRight w:val="0"/>
      <w:marTop w:val="0"/>
      <w:marBottom w:val="0"/>
      <w:divBdr>
        <w:top w:val="none" w:sz="0" w:space="0" w:color="auto"/>
        <w:left w:val="none" w:sz="0" w:space="0" w:color="auto"/>
        <w:bottom w:val="none" w:sz="0" w:space="0" w:color="auto"/>
        <w:right w:val="none" w:sz="0" w:space="0" w:color="auto"/>
      </w:divBdr>
    </w:div>
    <w:div w:id="901062080">
      <w:bodyDiv w:val="1"/>
      <w:marLeft w:val="0"/>
      <w:marRight w:val="0"/>
      <w:marTop w:val="0"/>
      <w:marBottom w:val="0"/>
      <w:divBdr>
        <w:top w:val="none" w:sz="0" w:space="0" w:color="auto"/>
        <w:left w:val="none" w:sz="0" w:space="0" w:color="auto"/>
        <w:bottom w:val="none" w:sz="0" w:space="0" w:color="auto"/>
        <w:right w:val="none" w:sz="0" w:space="0" w:color="auto"/>
      </w:divBdr>
    </w:div>
    <w:div w:id="907420607">
      <w:bodyDiv w:val="1"/>
      <w:marLeft w:val="0"/>
      <w:marRight w:val="0"/>
      <w:marTop w:val="0"/>
      <w:marBottom w:val="0"/>
      <w:divBdr>
        <w:top w:val="none" w:sz="0" w:space="0" w:color="auto"/>
        <w:left w:val="none" w:sz="0" w:space="0" w:color="auto"/>
        <w:bottom w:val="none" w:sz="0" w:space="0" w:color="auto"/>
        <w:right w:val="none" w:sz="0" w:space="0" w:color="auto"/>
      </w:divBdr>
    </w:div>
    <w:div w:id="908266821">
      <w:bodyDiv w:val="1"/>
      <w:marLeft w:val="0"/>
      <w:marRight w:val="0"/>
      <w:marTop w:val="0"/>
      <w:marBottom w:val="0"/>
      <w:divBdr>
        <w:top w:val="none" w:sz="0" w:space="0" w:color="auto"/>
        <w:left w:val="none" w:sz="0" w:space="0" w:color="auto"/>
        <w:bottom w:val="none" w:sz="0" w:space="0" w:color="auto"/>
        <w:right w:val="none" w:sz="0" w:space="0" w:color="auto"/>
      </w:divBdr>
    </w:div>
    <w:div w:id="911040827">
      <w:bodyDiv w:val="1"/>
      <w:marLeft w:val="0"/>
      <w:marRight w:val="0"/>
      <w:marTop w:val="0"/>
      <w:marBottom w:val="0"/>
      <w:divBdr>
        <w:top w:val="none" w:sz="0" w:space="0" w:color="auto"/>
        <w:left w:val="none" w:sz="0" w:space="0" w:color="auto"/>
        <w:bottom w:val="none" w:sz="0" w:space="0" w:color="auto"/>
        <w:right w:val="none" w:sz="0" w:space="0" w:color="auto"/>
      </w:divBdr>
    </w:div>
    <w:div w:id="911698147">
      <w:bodyDiv w:val="1"/>
      <w:marLeft w:val="0"/>
      <w:marRight w:val="0"/>
      <w:marTop w:val="0"/>
      <w:marBottom w:val="0"/>
      <w:divBdr>
        <w:top w:val="none" w:sz="0" w:space="0" w:color="auto"/>
        <w:left w:val="none" w:sz="0" w:space="0" w:color="auto"/>
        <w:bottom w:val="none" w:sz="0" w:space="0" w:color="auto"/>
        <w:right w:val="none" w:sz="0" w:space="0" w:color="auto"/>
      </w:divBdr>
    </w:div>
    <w:div w:id="918715021">
      <w:bodyDiv w:val="1"/>
      <w:marLeft w:val="0"/>
      <w:marRight w:val="0"/>
      <w:marTop w:val="0"/>
      <w:marBottom w:val="0"/>
      <w:divBdr>
        <w:top w:val="none" w:sz="0" w:space="0" w:color="auto"/>
        <w:left w:val="none" w:sz="0" w:space="0" w:color="auto"/>
        <w:bottom w:val="none" w:sz="0" w:space="0" w:color="auto"/>
        <w:right w:val="none" w:sz="0" w:space="0" w:color="auto"/>
      </w:divBdr>
    </w:div>
    <w:div w:id="921521574">
      <w:bodyDiv w:val="1"/>
      <w:marLeft w:val="0"/>
      <w:marRight w:val="0"/>
      <w:marTop w:val="0"/>
      <w:marBottom w:val="0"/>
      <w:divBdr>
        <w:top w:val="none" w:sz="0" w:space="0" w:color="auto"/>
        <w:left w:val="none" w:sz="0" w:space="0" w:color="auto"/>
        <w:bottom w:val="none" w:sz="0" w:space="0" w:color="auto"/>
        <w:right w:val="none" w:sz="0" w:space="0" w:color="auto"/>
      </w:divBdr>
    </w:div>
    <w:div w:id="922645808">
      <w:bodyDiv w:val="1"/>
      <w:marLeft w:val="0"/>
      <w:marRight w:val="0"/>
      <w:marTop w:val="0"/>
      <w:marBottom w:val="0"/>
      <w:divBdr>
        <w:top w:val="none" w:sz="0" w:space="0" w:color="auto"/>
        <w:left w:val="none" w:sz="0" w:space="0" w:color="auto"/>
        <w:bottom w:val="none" w:sz="0" w:space="0" w:color="auto"/>
        <w:right w:val="none" w:sz="0" w:space="0" w:color="auto"/>
      </w:divBdr>
    </w:div>
    <w:div w:id="923149273">
      <w:bodyDiv w:val="1"/>
      <w:marLeft w:val="0"/>
      <w:marRight w:val="0"/>
      <w:marTop w:val="0"/>
      <w:marBottom w:val="0"/>
      <w:divBdr>
        <w:top w:val="none" w:sz="0" w:space="0" w:color="auto"/>
        <w:left w:val="none" w:sz="0" w:space="0" w:color="auto"/>
        <w:bottom w:val="none" w:sz="0" w:space="0" w:color="auto"/>
        <w:right w:val="none" w:sz="0" w:space="0" w:color="auto"/>
      </w:divBdr>
    </w:div>
    <w:div w:id="923883268">
      <w:bodyDiv w:val="1"/>
      <w:marLeft w:val="0"/>
      <w:marRight w:val="0"/>
      <w:marTop w:val="0"/>
      <w:marBottom w:val="0"/>
      <w:divBdr>
        <w:top w:val="none" w:sz="0" w:space="0" w:color="auto"/>
        <w:left w:val="none" w:sz="0" w:space="0" w:color="auto"/>
        <w:bottom w:val="none" w:sz="0" w:space="0" w:color="auto"/>
        <w:right w:val="none" w:sz="0" w:space="0" w:color="auto"/>
      </w:divBdr>
    </w:div>
    <w:div w:id="924270284">
      <w:bodyDiv w:val="1"/>
      <w:marLeft w:val="0"/>
      <w:marRight w:val="0"/>
      <w:marTop w:val="0"/>
      <w:marBottom w:val="0"/>
      <w:divBdr>
        <w:top w:val="none" w:sz="0" w:space="0" w:color="auto"/>
        <w:left w:val="none" w:sz="0" w:space="0" w:color="auto"/>
        <w:bottom w:val="none" w:sz="0" w:space="0" w:color="auto"/>
        <w:right w:val="none" w:sz="0" w:space="0" w:color="auto"/>
      </w:divBdr>
    </w:div>
    <w:div w:id="926619266">
      <w:bodyDiv w:val="1"/>
      <w:marLeft w:val="0"/>
      <w:marRight w:val="0"/>
      <w:marTop w:val="0"/>
      <w:marBottom w:val="0"/>
      <w:divBdr>
        <w:top w:val="none" w:sz="0" w:space="0" w:color="auto"/>
        <w:left w:val="none" w:sz="0" w:space="0" w:color="auto"/>
        <w:bottom w:val="none" w:sz="0" w:space="0" w:color="auto"/>
        <w:right w:val="none" w:sz="0" w:space="0" w:color="auto"/>
      </w:divBdr>
    </w:div>
    <w:div w:id="930772093">
      <w:bodyDiv w:val="1"/>
      <w:marLeft w:val="0"/>
      <w:marRight w:val="0"/>
      <w:marTop w:val="0"/>
      <w:marBottom w:val="0"/>
      <w:divBdr>
        <w:top w:val="none" w:sz="0" w:space="0" w:color="auto"/>
        <w:left w:val="none" w:sz="0" w:space="0" w:color="auto"/>
        <w:bottom w:val="none" w:sz="0" w:space="0" w:color="auto"/>
        <w:right w:val="none" w:sz="0" w:space="0" w:color="auto"/>
      </w:divBdr>
    </w:div>
    <w:div w:id="930896882">
      <w:bodyDiv w:val="1"/>
      <w:marLeft w:val="0"/>
      <w:marRight w:val="0"/>
      <w:marTop w:val="0"/>
      <w:marBottom w:val="0"/>
      <w:divBdr>
        <w:top w:val="none" w:sz="0" w:space="0" w:color="auto"/>
        <w:left w:val="none" w:sz="0" w:space="0" w:color="auto"/>
        <w:bottom w:val="none" w:sz="0" w:space="0" w:color="auto"/>
        <w:right w:val="none" w:sz="0" w:space="0" w:color="auto"/>
      </w:divBdr>
    </w:div>
    <w:div w:id="933324268">
      <w:bodyDiv w:val="1"/>
      <w:marLeft w:val="0"/>
      <w:marRight w:val="0"/>
      <w:marTop w:val="0"/>
      <w:marBottom w:val="0"/>
      <w:divBdr>
        <w:top w:val="none" w:sz="0" w:space="0" w:color="auto"/>
        <w:left w:val="none" w:sz="0" w:space="0" w:color="auto"/>
        <w:bottom w:val="none" w:sz="0" w:space="0" w:color="auto"/>
        <w:right w:val="none" w:sz="0" w:space="0" w:color="auto"/>
      </w:divBdr>
    </w:div>
    <w:div w:id="952054154">
      <w:bodyDiv w:val="1"/>
      <w:marLeft w:val="0"/>
      <w:marRight w:val="0"/>
      <w:marTop w:val="0"/>
      <w:marBottom w:val="0"/>
      <w:divBdr>
        <w:top w:val="none" w:sz="0" w:space="0" w:color="auto"/>
        <w:left w:val="none" w:sz="0" w:space="0" w:color="auto"/>
        <w:bottom w:val="none" w:sz="0" w:space="0" w:color="auto"/>
        <w:right w:val="none" w:sz="0" w:space="0" w:color="auto"/>
      </w:divBdr>
    </w:div>
    <w:div w:id="952512688">
      <w:bodyDiv w:val="1"/>
      <w:marLeft w:val="0"/>
      <w:marRight w:val="0"/>
      <w:marTop w:val="0"/>
      <w:marBottom w:val="0"/>
      <w:divBdr>
        <w:top w:val="none" w:sz="0" w:space="0" w:color="auto"/>
        <w:left w:val="none" w:sz="0" w:space="0" w:color="auto"/>
        <w:bottom w:val="none" w:sz="0" w:space="0" w:color="auto"/>
        <w:right w:val="none" w:sz="0" w:space="0" w:color="auto"/>
      </w:divBdr>
    </w:div>
    <w:div w:id="953483509">
      <w:bodyDiv w:val="1"/>
      <w:marLeft w:val="0"/>
      <w:marRight w:val="0"/>
      <w:marTop w:val="0"/>
      <w:marBottom w:val="0"/>
      <w:divBdr>
        <w:top w:val="none" w:sz="0" w:space="0" w:color="auto"/>
        <w:left w:val="none" w:sz="0" w:space="0" w:color="auto"/>
        <w:bottom w:val="none" w:sz="0" w:space="0" w:color="auto"/>
        <w:right w:val="none" w:sz="0" w:space="0" w:color="auto"/>
      </w:divBdr>
    </w:div>
    <w:div w:id="960065993">
      <w:bodyDiv w:val="1"/>
      <w:marLeft w:val="0"/>
      <w:marRight w:val="0"/>
      <w:marTop w:val="0"/>
      <w:marBottom w:val="0"/>
      <w:divBdr>
        <w:top w:val="none" w:sz="0" w:space="0" w:color="auto"/>
        <w:left w:val="none" w:sz="0" w:space="0" w:color="auto"/>
        <w:bottom w:val="none" w:sz="0" w:space="0" w:color="auto"/>
        <w:right w:val="none" w:sz="0" w:space="0" w:color="auto"/>
      </w:divBdr>
    </w:div>
    <w:div w:id="964700845">
      <w:bodyDiv w:val="1"/>
      <w:marLeft w:val="0"/>
      <w:marRight w:val="0"/>
      <w:marTop w:val="0"/>
      <w:marBottom w:val="0"/>
      <w:divBdr>
        <w:top w:val="none" w:sz="0" w:space="0" w:color="auto"/>
        <w:left w:val="none" w:sz="0" w:space="0" w:color="auto"/>
        <w:bottom w:val="none" w:sz="0" w:space="0" w:color="auto"/>
        <w:right w:val="none" w:sz="0" w:space="0" w:color="auto"/>
      </w:divBdr>
    </w:div>
    <w:div w:id="975139732">
      <w:bodyDiv w:val="1"/>
      <w:marLeft w:val="0"/>
      <w:marRight w:val="0"/>
      <w:marTop w:val="0"/>
      <w:marBottom w:val="0"/>
      <w:divBdr>
        <w:top w:val="none" w:sz="0" w:space="0" w:color="auto"/>
        <w:left w:val="none" w:sz="0" w:space="0" w:color="auto"/>
        <w:bottom w:val="none" w:sz="0" w:space="0" w:color="auto"/>
        <w:right w:val="none" w:sz="0" w:space="0" w:color="auto"/>
      </w:divBdr>
    </w:div>
    <w:div w:id="977954428">
      <w:bodyDiv w:val="1"/>
      <w:marLeft w:val="0"/>
      <w:marRight w:val="0"/>
      <w:marTop w:val="0"/>
      <w:marBottom w:val="0"/>
      <w:divBdr>
        <w:top w:val="none" w:sz="0" w:space="0" w:color="auto"/>
        <w:left w:val="none" w:sz="0" w:space="0" w:color="auto"/>
        <w:bottom w:val="none" w:sz="0" w:space="0" w:color="auto"/>
        <w:right w:val="none" w:sz="0" w:space="0" w:color="auto"/>
      </w:divBdr>
    </w:div>
    <w:div w:id="978848871">
      <w:bodyDiv w:val="1"/>
      <w:marLeft w:val="0"/>
      <w:marRight w:val="0"/>
      <w:marTop w:val="0"/>
      <w:marBottom w:val="0"/>
      <w:divBdr>
        <w:top w:val="none" w:sz="0" w:space="0" w:color="auto"/>
        <w:left w:val="none" w:sz="0" w:space="0" w:color="auto"/>
        <w:bottom w:val="none" w:sz="0" w:space="0" w:color="auto"/>
        <w:right w:val="none" w:sz="0" w:space="0" w:color="auto"/>
      </w:divBdr>
    </w:div>
    <w:div w:id="982810083">
      <w:bodyDiv w:val="1"/>
      <w:marLeft w:val="0"/>
      <w:marRight w:val="0"/>
      <w:marTop w:val="0"/>
      <w:marBottom w:val="0"/>
      <w:divBdr>
        <w:top w:val="none" w:sz="0" w:space="0" w:color="auto"/>
        <w:left w:val="none" w:sz="0" w:space="0" w:color="auto"/>
        <w:bottom w:val="none" w:sz="0" w:space="0" w:color="auto"/>
        <w:right w:val="none" w:sz="0" w:space="0" w:color="auto"/>
      </w:divBdr>
    </w:div>
    <w:div w:id="984166138">
      <w:bodyDiv w:val="1"/>
      <w:marLeft w:val="0"/>
      <w:marRight w:val="0"/>
      <w:marTop w:val="0"/>
      <w:marBottom w:val="0"/>
      <w:divBdr>
        <w:top w:val="none" w:sz="0" w:space="0" w:color="auto"/>
        <w:left w:val="none" w:sz="0" w:space="0" w:color="auto"/>
        <w:bottom w:val="none" w:sz="0" w:space="0" w:color="auto"/>
        <w:right w:val="none" w:sz="0" w:space="0" w:color="auto"/>
      </w:divBdr>
    </w:div>
    <w:div w:id="997422915">
      <w:bodyDiv w:val="1"/>
      <w:marLeft w:val="0"/>
      <w:marRight w:val="0"/>
      <w:marTop w:val="0"/>
      <w:marBottom w:val="0"/>
      <w:divBdr>
        <w:top w:val="none" w:sz="0" w:space="0" w:color="auto"/>
        <w:left w:val="none" w:sz="0" w:space="0" w:color="auto"/>
        <w:bottom w:val="none" w:sz="0" w:space="0" w:color="auto"/>
        <w:right w:val="none" w:sz="0" w:space="0" w:color="auto"/>
      </w:divBdr>
    </w:div>
    <w:div w:id="997729744">
      <w:bodyDiv w:val="1"/>
      <w:marLeft w:val="0"/>
      <w:marRight w:val="0"/>
      <w:marTop w:val="0"/>
      <w:marBottom w:val="0"/>
      <w:divBdr>
        <w:top w:val="none" w:sz="0" w:space="0" w:color="auto"/>
        <w:left w:val="none" w:sz="0" w:space="0" w:color="auto"/>
        <w:bottom w:val="none" w:sz="0" w:space="0" w:color="auto"/>
        <w:right w:val="none" w:sz="0" w:space="0" w:color="auto"/>
      </w:divBdr>
    </w:div>
    <w:div w:id="998003841">
      <w:bodyDiv w:val="1"/>
      <w:marLeft w:val="0"/>
      <w:marRight w:val="0"/>
      <w:marTop w:val="0"/>
      <w:marBottom w:val="0"/>
      <w:divBdr>
        <w:top w:val="none" w:sz="0" w:space="0" w:color="auto"/>
        <w:left w:val="none" w:sz="0" w:space="0" w:color="auto"/>
        <w:bottom w:val="none" w:sz="0" w:space="0" w:color="auto"/>
        <w:right w:val="none" w:sz="0" w:space="0" w:color="auto"/>
      </w:divBdr>
    </w:div>
    <w:div w:id="1009406156">
      <w:bodyDiv w:val="1"/>
      <w:marLeft w:val="0"/>
      <w:marRight w:val="0"/>
      <w:marTop w:val="0"/>
      <w:marBottom w:val="0"/>
      <w:divBdr>
        <w:top w:val="none" w:sz="0" w:space="0" w:color="auto"/>
        <w:left w:val="none" w:sz="0" w:space="0" w:color="auto"/>
        <w:bottom w:val="none" w:sz="0" w:space="0" w:color="auto"/>
        <w:right w:val="none" w:sz="0" w:space="0" w:color="auto"/>
      </w:divBdr>
    </w:div>
    <w:div w:id="1013995154">
      <w:bodyDiv w:val="1"/>
      <w:marLeft w:val="0"/>
      <w:marRight w:val="0"/>
      <w:marTop w:val="0"/>
      <w:marBottom w:val="0"/>
      <w:divBdr>
        <w:top w:val="none" w:sz="0" w:space="0" w:color="auto"/>
        <w:left w:val="none" w:sz="0" w:space="0" w:color="auto"/>
        <w:bottom w:val="none" w:sz="0" w:space="0" w:color="auto"/>
        <w:right w:val="none" w:sz="0" w:space="0" w:color="auto"/>
      </w:divBdr>
    </w:div>
    <w:div w:id="1014303605">
      <w:bodyDiv w:val="1"/>
      <w:marLeft w:val="0"/>
      <w:marRight w:val="0"/>
      <w:marTop w:val="0"/>
      <w:marBottom w:val="0"/>
      <w:divBdr>
        <w:top w:val="none" w:sz="0" w:space="0" w:color="auto"/>
        <w:left w:val="none" w:sz="0" w:space="0" w:color="auto"/>
        <w:bottom w:val="none" w:sz="0" w:space="0" w:color="auto"/>
        <w:right w:val="none" w:sz="0" w:space="0" w:color="auto"/>
      </w:divBdr>
    </w:div>
    <w:div w:id="1018240257">
      <w:bodyDiv w:val="1"/>
      <w:marLeft w:val="0"/>
      <w:marRight w:val="0"/>
      <w:marTop w:val="0"/>
      <w:marBottom w:val="0"/>
      <w:divBdr>
        <w:top w:val="none" w:sz="0" w:space="0" w:color="auto"/>
        <w:left w:val="none" w:sz="0" w:space="0" w:color="auto"/>
        <w:bottom w:val="none" w:sz="0" w:space="0" w:color="auto"/>
        <w:right w:val="none" w:sz="0" w:space="0" w:color="auto"/>
      </w:divBdr>
    </w:div>
    <w:div w:id="1018503300">
      <w:bodyDiv w:val="1"/>
      <w:marLeft w:val="0"/>
      <w:marRight w:val="0"/>
      <w:marTop w:val="0"/>
      <w:marBottom w:val="0"/>
      <w:divBdr>
        <w:top w:val="none" w:sz="0" w:space="0" w:color="auto"/>
        <w:left w:val="none" w:sz="0" w:space="0" w:color="auto"/>
        <w:bottom w:val="none" w:sz="0" w:space="0" w:color="auto"/>
        <w:right w:val="none" w:sz="0" w:space="0" w:color="auto"/>
      </w:divBdr>
    </w:div>
    <w:div w:id="1019622687">
      <w:bodyDiv w:val="1"/>
      <w:marLeft w:val="0"/>
      <w:marRight w:val="0"/>
      <w:marTop w:val="0"/>
      <w:marBottom w:val="0"/>
      <w:divBdr>
        <w:top w:val="none" w:sz="0" w:space="0" w:color="auto"/>
        <w:left w:val="none" w:sz="0" w:space="0" w:color="auto"/>
        <w:bottom w:val="none" w:sz="0" w:space="0" w:color="auto"/>
        <w:right w:val="none" w:sz="0" w:space="0" w:color="auto"/>
      </w:divBdr>
    </w:div>
    <w:div w:id="1030305872">
      <w:bodyDiv w:val="1"/>
      <w:marLeft w:val="0"/>
      <w:marRight w:val="0"/>
      <w:marTop w:val="0"/>
      <w:marBottom w:val="0"/>
      <w:divBdr>
        <w:top w:val="none" w:sz="0" w:space="0" w:color="auto"/>
        <w:left w:val="none" w:sz="0" w:space="0" w:color="auto"/>
        <w:bottom w:val="none" w:sz="0" w:space="0" w:color="auto"/>
        <w:right w:val="none" w:sz="0" w:space="0" w:color="auto"/>
      </w:divBdr>
    </w:div>
    <w:div w:id="1037971704">
      <w:bodyDiv w:val="1"/>
      <w:marLeft w:val="0"/>
      <w:marRight w:val="0"/>
      <w:marTop w:val="0"/>
      <w:marBottom w:val="0"/>
      <w:divBdr>
        <w:top w:val="none" w:sz="0" w:space="0" w:color="auto"/>
        <w:left w:val="none" w:sz="0" w:space="0" w:color="auto"/>
        <w:bottom w:val="none" w:sz="0" w:space="0" w:color="auto"/>
        <w:right w:val="none" w:sz="0" w:space="0" w:color="auto"/>
      </w:divBdr>
    </w:div>
    <w:div w:id="1042360118">
      <w:bodyDiv w:val="1"/>
      <w:marLeft w:val="0"/>
      <w:marRight w:val="0"/>
      <w:marTop w:val="0"/>
      <w:marBottom w:val="0"/>
      <w:divBdr>
        <w:top w:val="none" w:sz="0" w:space="0" w:color="auto"/>
        <w:left w:val="none" w:sz="0" w:space="0" w:color="auto"/>
        <w:bottom w:val="none" w:sz="0" w:space="0" w:color="auto"/>
        <w:right w:val="none" w:sz="0" w:space="0" w:color="auto"/>
      </w:divBdr>
    </w:div>
    <w:div w:id="1045299311">
      <w:bodyDiv w:val="1"/>
      <w:marLeft w:val="0"/>
      <w:marRight w:val="0"/>
      <w:marTop w:val="0"/>
      <w:marBottom w:val="0"/>
      <w:divBdr>
        <w:top w:val="none" w:sz="0" w:space="0" w:color="auto"/>
        <w:left w:val="none" w:sz="0" w:space="0" w:color="auto"/>
        <w:bottom w:val="none" w:sz="0" w:space="0" w:color="auto"/>
        <w:right w:val="none" w:sz="0" w:space="0" w:color="auto"/>
      </w:divBdr>
    </w:div>
    <w:div w:id="1045522248">
      <w:bodyDiv w:val="1"/>
      <w:marLeft w:val="0"/>
      <w:marRight w:val="0"/>
      <w:marTop w:val="0"/>
      <w:marBottom w:val="0"/>
      <w:divBdr>
        <w:top w:val="none" w:sz="0" w:space="0" w:color="auto"/>
        <w:left w:val="none" w:sz="0" w:space="0" w:color="auto"/>
        <w:bottom w:val="none" w:sz="0" w:space="0" w:color="auto"/>
        <w:right w:val="none" w:sz="0" w:space="0" w:color="auto"/>
      </w:divBdr>
    </w:div>
    <w:div w:id="1046681742">
      <w:bodyDiv w:val="1"/>
      <w:marLeft w:val="0"/>
      <w:marRight w:val="0"/>
      <w:marTop w:val="0"/>
      <w:marBottom w:val="0"/>
      <w:divBdr>
        <w:top w:val="none" w:sz="0" w:space="0" w:color="auto"/>
        <w:left w:val="none" w:sz="0" w:space="0" w:color="auto"/>
        <w:bottom w:val="none" w:sz="0" w:space="0" w:color="auto"/>
        <w:right w:val="none" w:sz="0" w:space="0" w:color="auto"/>
      </w:divBdr>
    </w:div>
    <w:div w:id="1056050320">
      <w:bodyDiv w:val="1"/>
      <w:marLeft w:val="0"/>
      <w:marRight w:val="0"/>
      <w:marTop w:val="0"/>
      <w:marBottom w:val="0"/>
      <w:divBdr>
        <w:top w:val="none" w:sz="0" w:space="0" w:color="auto"/>
        <w:left w:val="none" w:sz="0" w:space="0" w:color="auto"/>
        <w:bottom w:val="none" w:sz="0" w:space="0" w:color="auto"/>
        <w:right w:val="none" w:sz="0" w:space="0" w:color="auto"/>
      </w:divBdr>
    </w:div>
    <w:div w:id="1059205030">
      <w:bodyDiv w:val="1"/>
      <w:marLeft w:val="0"/>
      <w:marRight w:val="0"/>
      <w:marTop w:val="0"/>
      <w:marBottom w:val="0"/>
      <w:divBdr>
        <w:top w:val="none" w:sz="0" w:space="0" w:color="auto"/>
        <w:left w:val="none" w:sz="0" w:space="0" w:color="auto"/>
        <w:bottom w:val="none" w:sz="0" w:space="0" w:color="auto"/>
        <w:right w:val="none" w:sz="0" w:space="0" w:color="auto"/>
      </w:divBdr>
    </w:div>
    <w:div w:id="1062677109">
      <w:bodyDiv w:val="1"/>
      <w:marLeft w:val="0"/>
      <w:marRight w:val="0"/>
      <w:marTop w:val="0"/>
      <w:marBottom w:val="0"/>
      <w:divBdr>
        <w:top w:val="none" w:sz="0" w:space="0" w:color="auto"/>
        <w:left w:val="none" w:sz="0" w:space="0" w:color="auto"/>
        <w:bottom w:val="none" w:sz="0" w:space="0" w:color="auto"/>
        <w:right w:val="none" w:sz="0" w:space="0" w:color="auto"/>
      </w:divBdr>
    </w:div>
    <w:div w:id="1062798966">
      <w:bodyDiv w:val="1"/>
      <w:marLeft w:val="0"/>
      <w:marRight w:val="0"/>
      <w:marTop w:val="0"/>
      <w:marBottom w:val="0"/>
      <w:divBdr>
        <w:top w:val="none" w:sz="0" w:space="0" w:color="auto"/>
        <w:left w:val="none" w:sz="0" w:space="0" w:color="auto"/>
        <w:bottom w:val="none" w:sz="0" w:space="0" w:color="auto"/>
        <w:right w:val="none" w:sz="0" w:space="0" w:color="auto"/>
      </w:divBdr>
    </w:div>
    <w:div w:id="1064766473">
      <w:bodyDiv w:val="1"/>
      <w:marLeft w:val="0"/>
      <w:marRight w:val="0"/>
      <w:marTop w:val="0"/>
      <w:marBottom w:val="0"/>
      <w:divBdr>
        <w:top w:val="none" w:sz="0" w:space="0" w:color="auto"/>
        <w:left w:val="none" w:sz="0" w:space="0" w:color="auto"/>
        <w:bottom w:val="none" w:sz="0" w:space="0" w:color="auto"/>
        <w:right w:val="none" w:sz="0" w:space="0" w:color="auto"/>
      </w:divBdr>
    </w:div>
    <w:div w:id="1066564014">
      <w:bodyDiv w:val="1"/>
      <w:marLeft w:val="0"/>
      <w:marRight w:val="0"/>
      <w:marTop w:val="0"/>
      <w:marBottom w:val="0"/>
      <w:divBdr>
        <w:top w:val="none" w:sz="0" w:space="0" w:color="auto"/>
        <w:left w:val="none" w:sz="0" w:space="0" w:color="auto"/>
        <w:bottom w:val="none" w:sz="0" w:space="0" w:color="auto"/>
        <w:right w:val="none" w:sz="0" w:space="0" w:color="auto"/>
      </w:divBdr>
    </w:div>
    <w:div w:id="1068305253">
      <w:bodyDiv w:val="1"/>
      <w:marLeft w:val="0"/>
      <w:marRight w:val="0"/>
      <w:marTop w:val="0"/>
      <w:marBottom w:val="0"/>
      <w:divBdr>
        <w:top w:val="none" w:sz="0" w:space="0" w:color="auto"/>
        <w:left w:val="none" w:sz="0" w:space="0" w:color="auto"/>
        <w:bottom w:val="none" w:sz="0" w:space="0" w:color="auto"/>
        <w:right w:val="none" w:sz="0" w:space="0" w:color="auto"/>
      </w:divBdr>
    </w:div>
    <w:div w:id="1068697765">
      <w:bodyDiv w:val="1"/>
      <w:marLeft w:val="0"/>
      <w:marRight w:val="0"/>
      <w:marTop w:val="0"/>
      <w:marBottom w:val="0"/>
      <w:divBdr>
        <w:top w:val="none" w:sz="0" w:space="0" w:color="auto"/>
        <w:left w:val="none" w:sz="0" w:space="0" w:color="auto"/>
        <w:bottom w:val="none" w:sz="0" w:space="0" w:color="auto"/>
        <w:right w:val="none" w:sz="0" w:space="0" w:color="auto"/>
      </w:divBdr>
    </w:div>
    <w:div w:id="1082944276">
      <w:bodyDiv w:val="1"/>
      <w:marLeft w:val="0"/>
      <w:marRight w:val="0"/>
      <w:marTop w:val="0"/>
      <w:marBottom w:val="0"/>
      <w:divBdr>
        <w:top w:val="none" w:sz="0" w:space="0" w:color="auto"/>
        <w:left w:val="none" w:sz="0" w:space="0" w:color="auto"/>
        <w:bottom w:val="none" w:sz="0" w:space="0" w:color="auto"/>
        <w:right w:val="none" w:sz="0" w:space="0" w:color="auto"/>
      </w:divBdr>
    </w:div>
    <w:div w:id="1083260726">
      <w:bodyDiv w:val="1"/>
      <w:marLeft w:val="0"/>
      <w:marRight w:val="0"/>
      <w:marTop w:val="0"/>
      <w:marBottom w:val="0"/>
      <w:divBdr>
        <w:top w:val="none" w:sz="0" w:space="0" w:color="auto"/>
        <w:left w:val="none" w:sz="0" w:space="0" w:color="auto"/>
        <w:bottom w:val="none" w:sz="0" w:space="0" w:color="auto"/>
        <w:right w:val="none" w:sz="0" w:space="0" w:color="auto"/>
      </w:divBdr>
    </w:div>
    <w:div w:id="1089422177">
      <w:bodyDiv w:val="1"/>
      <w:marLeft w:val="0"/>
      <w:marRight w:val="0"/>
      <w:marTop w:val="0"/>
      <w:marBottom w:val="0"/>
      <w:divBdr>
        <w:top w:val="none" w:sz="0" w:space="0" w:color="auto"/>
        <w:left w:val="none" w:sz="0" w:space="0" w:color="auto"/>
        <w:bottom w:val="none" w:sz="0" w:space="0" w:color="auto"/>
        <w:right w:val="none" w:sz="0" w:space="0" w:color="auto"/>
      </w:divBdr>
    </w:div>
    <w:div w:id="1089615225">
      <w:bodyDiv w:val="1"/>
      <w:marLeft w:val="0"/>
      <w:marRight w:val="0"/>
      <w:marTop w:val="0"/>
      <w:marBottom w:val="0"/>
      <w:divBdr>
        <w:top w:val="none" w:sz="0" w:space="0" w:color="auto"/>
        <w:left w:val="none" w:sz="0" w:space="0" w:color="auto"/>
        <w:bottom w:val="none" w:sz="0" w:space="0" w:color="auto"/>
        <w:right w:val="none" w:sz="0" w:space="0" w:color="auto"/>
      </w:divBdr>
    </w:div>
    <w:div w:id="1100686421">
      <w:bodyDiv w:val="1"/>
      <w:marLeft w:val="0"/>
      <w:marRight w:val="0"/>
      <w:marTop w:val="0"/>
      <w:marBottom w:val="0"/>
      <w:divBdr>
        <w:top w:val="none" w:sz="0" w:space="0" w:color="auto"/>
        <w:left w:val="none" w:sz="0" w:space="0" w:color="auto"/>
        <w:bottom w:val="none" w:sz="0" w:space="0" w:color="auto"/>
        <w:right w:val="none" w:sz="0" w:space="0" w:color="auto"/>
      </w:divBdr>
    </w:div>
    <w:div w:id="1109591916">
      <w:bodyDiv w:val="1"/>
      <w:marLeft w:val="0"/>
      <w:marRight w:val="0"/>
      <w:marTop w:val="0"/>
      <w:marBottom w:val="0"/>
      <w:divBdr>
        <w:top w:val="none" w:sz="0" w:space="0" w:color="auto"/>
        <w:left w:val="none" w:sz="0" w:space="0" w:color="auto"/>
        <w:bottom w:val="none" w:sz="0" w:space="0" w:color="auto"/>
        <w:right w:val="none" w:sz="0" w:space="0" w:color="auto"/>
      </w:divBdr>
    </w:div>
    <w:div w:id="1118571504">
      <w:bodyDiv w:val="1"/>
      <w:marLeft w:val="0"/>
      <w:marRight w:val="0"/>
      <w:marTop w:val="0"/>
      <w:marBottom w:val="0"/>
      <w:divBdr>
        <w:top w:val="none" w:sz="0" w:space="0" w:color="auto"/>
        <w:left w:val="none" w:sz="0" w:space="0" w:color="auto"/>
        <w:bottom w:val="none" w:sz="0" w:space="0" w:color="auto"/>
        <w:right w:val="none" w:sz="0" w:space="0" w:color="auto"/>
      </w:divBdr>
    </w:div>
    <w:div w:id="1121534007">
      <w:bodyDiv w:val="1"/>
      <w:marLeft w:val="0"/>
      <w:marRight w:val="0"/>
      <w:marTop w:val="0"/>
      <w:marBottom w:val="0"/>
      <w:divBdr>
        <w:top w:val="none" w:sz="0" w:space="0" w:color="auto"/>
        <w:left w:val="none" w:sz="0" w:space="0" w:color="auto"/>
        <w:bottom w:val="none" w:sz="0" w:space="0" w:color="auto"/>
        <w:right w:val="none" w:sz="0" w:space="0" w:color="auto"/>
      </w:divBdr>
    </w:div>
    <w:div w:id="1124543891">
      <w:bodyDiv w:val="1"/>
      <w:marLeft w:val="0"/>
      <w:marRight w:val="0"/>
      <w:marTop w:val="0"/>
      <w:marBottom w:val="0"/>
      <w:divBdr>
        <w:top w:val="none" w:sz="0" w:space="0" w:color="auto"/>
        <w:left w:val="none" w:sz="0" w:space="0" w:color="auto"/>
        <w:bottom w:val="none" w:sz="0" w:space="0" w:color="auto"/>
        <w:right w:val="none" w:sz="0" w:space="0" w:color="auto"/>
      </w:divBdr>
    </w:div>
    <w:div w:id="1129979592">
      <w:bodyDiv w:val="1"/>
      <w:marLeft w:val="0"/>
      <w:marRight w:val="0"/>
      <w:marTop w:val="0"/>
      <w:marBottom w:val="0"/>
      <w:divBdr>
        <w:top w:val="none" w:sz="0" w:space="0" w:color="auto"/>
        <w:left w:val="none" w:sz="0" w:space="0" w:color="auto"/>
        <w:bottom w:val="none" w:sz="0" w:space="0" w:color="auto"/>
        <w:right w:val="none" w:sz="0" w:space="0" w:color="auto"/>
      </w:divBdr>
    </w:div>
    <w:div w:id="1133449895">
      <w:bodyDiv w:val="1"/>
      <w:marLeft w:val="0"/>
      <w:marRight w:val="0"/>
      <w:marTop w:val="0"/>
      <w:marBottom w:val="0"/>
      <w:divBdr>
        <w:top w:val="none" w:sz="0" w:space="0" w:color="auto"/>
        <w:left w:val="none" w:sz="0" w:space="0" w:color="auto"/>
        <w:bottom w:val="none" w:sz="0" w:space="0" w:color="auto"/>
        <w:right w:val="none" w:sz="0" w:space="0" w:color="auto"/>
      </w:divBdr>
    </w:div>
    <w:div w:id="1149596857">
      <w:bodyDiv w:val="1"/>
      <w:marLeft w:val="0"/>
      <w:marRight w:val="0"/>
      <w:marTop w:val="0"/>
      <w:marBottom w:val="0"/>
      <w:divBdr>
        <w:top w:val="none" w:sz="0" w:space="0" w:color="auto"/>
        <w:left w:val="none" w:sz="0" w:space="0" w:color="auto"/>
        <w:bottom w:val="none" w:sz="0" w:space="0" w:color="auto"/>
        <w:right w:val="none" w:sz="0" w:space="0" w:color="auto"/>
      </w:divBdr>
    </w:div>
    <w:div w:id="1168518884">
      <w:bodyDiv w:val="1"/>
      <w:marLeft w:val="0"/>
      <w:marRight w:val="0"/>
      <w:marTop w:val="0"/>
      <w:marBottom w:val="0"/>
      <w:divBdr>
        <w:top w:val="none" w:sz="0" w:space="0" w:color="auto"/>
        <w:left w:val="none" w:sz="0" w:space="0" w:color="auto"/>
        <w:bottom w:val="none" w:sz="0" w:space="0" w:color="auto"/>
        <w:right w:val="none" w:sz="0" w:space="0" w:color="auto"/>
      </w:divBdr>
    </w:div>
    <w:div w:id="1173684360">
      <w:bodyDiv w:val="1"/>
      <w:marLeft w:val="0"/>
      <w:marRight w:val="0"/>
      <w:marTop w:val="0"/>
      <w:marBottom w:val="0"/>
      <w:divBdr>
        <w:top w:val="none" w:sz="0" w:space="0" w:color="auto"/>
        <w:left w:val="none" w:sz="0" w:space="0" w:color="auto"/>
        <w:bottom w:val="none" w:sz="0" w:space="0" w:color="auto"/>
        <w:right w:val="none" w:sz="0" w:space="0" w:color="auto"/>
      </w:divBdr>
    </w:div>
    <w:div w:id="1173766917">
      <w:bodyDiv w:val="1"/>
      <w:marLeft w:val="0"/>
      <w:marRight w:val="0"/>
      <w:marTop w:val="0"/>
      <w:marBottom w:val="0"/>
      <w:divBdr>
        <w:top w:val="none" w:sz="0" w:space="0" w:color="auto"/>
        <w:left w:val="none" w:sz="0" w:space="0" w:color="auto"/>
        <w:bottom w:val="none" w:sz="0" w:space="0" w:color="auto"/>
        <w:right w:val="none" w:sz="0" w:space="0" w:color="auto"/>
      </w:divBdr>
    </w:div>
    <w:div w:id="1176190677">
      <w:bodyDiv w:val="1"/>
      <w:marLeft w:val="0"/>
      <w:marRight w:val="0"/>
      <w:marTop w:val="0"/>
      <w:marBottom w:val="0"/>
      <w:divBdr>
        <w:top w:val="none" w:sz="0" w:space="0" w:color="auto"/>
        <w:left w:val="none" w:sz="0" w:space="0" w:color="auto"/>
        <w:bottom w:val="none" w:sz="0" w:space="0" w:color="auto"/>
        <w:right w:val="none" w:sz="0" w:space="0" w:color="auto"/>
      </w:divBdr>
    </w:div>
    <w:div w:id="1182552220">
      <w:bodyDiv w:val="1"/>
      <w:marLeft w:val="0"/>
      <w:marRight w:val="0"/>
      <w:marTop w:val="0"/>
      <w:marBottom w:val="0"/>
      <w:divBdr>
        <w:top w:val="none" w:sz="0" w:space="0" w:color="auto"/>
        <w:left w:val="none" w:sz="0" w:space="0" w:color="auto"/>
        <w:bottom w:val="none" w:sz="0" w:space="0" w:color="auto"/>
        <w:right w:val="none" w:sz="0" w:space="0" w:color="auto"/>
      </w:divBdr>
    </w:div>
    <w:div w:id="1182624949">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8831616">
      <w:bodyDiv w:val="1"/>
      <w:marLeft w:val="0"/>
      <w:marRight w:val="0"/>
      <w:marTop w:val="0"/>
      <w:marBottom w:val="0"/>
      <w:divBdr>
        <w:top w:val="none" w:sz="0" w:space="0" w:color="auto"/>
        <w:left w:val="none" w:sz="0" w:space="0" w:color="auto"/>
        <w:bottom w:val="none" w:sz="0" w:space="0" w:color="auto"/>
        <w:right w:val="none" w:sz="0" w:space="0" w:color="auto"/>
      </w:divBdr>
    </w:div>
    <w:div w:id="1193883145">
      <w:bodyDiv w:val="1"/>
      <w:marLeft w:val="0"/>
      <w:marRight w:val="0"/>
      <w:marTop w:val="0"/>
      <w:marBottom w:val="0"/>
      <w:divBdr>
        <w:top w:val="none" w:sz="0" w:space="0" w:color="auto"/>
        <w:left w:val="none" w:sz="0" w:space="0" w:color="auto"/>
        <w:bottom w:val="none" w:sz="0" w:space="0" w:color="auto"/>
        <w:right w:val="none" w:sz="0" w:space="0" w:color="auto"/>
      </w:divBdr>
    </w:div>
    <w:div w:id="1194684360">
      <w:bodyDiv w:val="1"/>
      <w:marLeft w:val="0"/>
      <w:marRight w:val="0"/>
      <w:marTop w:val="0"/>
      <w:marBottom w:val="0"/>
      <w:divBdr>
        <w:top w:val="none" w:sz="0" w:space="0" w:color="auto"/>
        <w:left w:val="none" w:sz="0" w:space="0" w:color="auto"/>
        <w:bottom w:val="none" w:sz="0" w:space="0" w:color="auto"/>
        <w:right w:val="none" w:sz="0" w:space="0" w:color="auto"/>
      </w:divBdr>
    </w:div>
    <w:div w:id="1199973536">
      <w:bodyDiv w:val="1"/>
      <w:marLeft w:val="0"/>
      <w:marRight w:val="0"/>
      <w:marTop w:val="0"/>
      <w:marBottom w:val="0"/>
      <w:divBdr>
        <w:top w:val="none" w:sz="0" w:space="0" w:color="auto"/>
        <w:left w:val="none" w:sz="0" w:space="0" w:color="auto"/>
        <w:bottom w:val="none" w:sz="0" w:space="0" w:color="auto"/>
        <w:right w:val="none" w:sz="0" w:space="0" w:color="auto"/>
      </w:divBdr>
    </w:div>
    <w:div w:id="1200586573">
      <w:bodyDiv w:val="1"/>
      <w:marLeft w:val="0"/>
      <w:marRight w:val="0"/>
      <w:marTop w:val="0"/>
      <w:marBottom w:val="0"/>
      <w:divBdr>
        <w:top w:val="none" w:sz="0" w:space="0" w:color="auto"/>
        <w:left w:val="none" w:sz="0" w:space="0" w:color="auto"/>
        <w:bottom w:val="none" w:sz="0" w:space="0" w:color="auto"/>
        <w:right w:val="none" w:sz="0" w:space="0" w:color="auto"/>
      </w:divBdr>
    </w:div>
    <w:div w:id="1205677454">
      <w:bodyDiv w:val="1"/>
      <w:marLeft w:val="0"/>
      <w:marRight w:val="0"/>
      <w:marTop w:val="0"/>
      <w:marBottom w:val="0"/>
      <w:divBdr>
        <w:top w:val="none" w:sz="0" w:space="0" w:color="auto"/>
        <w:left w:val="none" w:sz="0" w:space="0" w:color="auto"/>
        <w:bottom w:val="none" w:sz="0" w:space="0" w:color="auto"/>
        <w:right w:val="none" w:sz="0" w:space="0" w:color="auto"/>
      </w:divBdr>
    </w:div>
    <w:div w:id="1207256511">
      <w:bodyDiv w:val="1"/>
      <w:marLeft w:val="0"/>
      <w:marRight w:val="0"/>
      <w:marTop w:val="0"/>
      <w:marBottom w:val="0"/>
      <w:divBdr>
        <w:top w:val="none" w:sz="0" w:space="0" w:color="auto"/>
        <w:left w:val="none" w:sz="0" w:space="0" w:color="auto"/>
        <w:bottom w:val="none" w:sz="0" w:space="0" w:color="auto"/>
        <w:right w:val="none" w:sz="0" w:space="0" w:color="auto"/>
      </w:divBdr>
    </w:div>
    <w:div w:id="1207450175">
      <w:bodyDiv w:val="1"/>
      <w:marLeft w:val="0"/>
      <w:marRight w:val="0"/>
      <w:marTop w:val="0"/>
      <w:marBottom w:val="0"/>
      <w:divBdr>
        <w:top w:val="none" w:sz="0" w:space="0" w:color="auto"/>
        <w:left w:val="none" w:sz="0" w:space="0" w:color="auto"/>
        <w:bottom w:val="none" w:sz="0" w:space="0" w:color="auto"/>
        <w:right w:val="none" w:sz="0" w:space="0" w:color="auto"/>
      </w:divBdr>
    </w:div>
    <w:div w:id="1215509598">
      <w:bodyDiv w:val="1"/>
      <w:marLeft w:val="0"/>
      <w:marRight w:val="0"/>
      <w:marTop w:val="0"/>
      <w:marBottom w:val="0"/>
      <w:divBdr>
        <w:top w:val="none" w:sz="0" w:space="0" w:color="auto"/>
        <w:left w:val="none" w:sz="0" w:space="0" w:color="auto"/>
        <w:bottom w:val="none" w:sz="0" w:space="0" w:color="auto"/>
        <w:right w:val="none" w:sz="0" w:space="0" w:color="auto"/>
      </w:divBdr>
    </w:div>
    <w:div w:id="1216158627">
      <w:bodyDiv w:val="1"/>
      <w:marLeft w:val="0"/>
      <w:marRight w:val="0"/>
      <w:marTop w:val="0"/>
      <w:marBottom w:val="0"/>
      <w:divBdr>
        <w:top w:val="none" w:sz="0" w:space="0" w:color="auto"/>
        <w:left w:val="none" w:sz="0" w:space="0" w:color="auto"/>
        <w:bottom w:val="none" w:sz="0" w:space="0" w:color="auto"/>
        <w:right w:val="none" w:sz="0" w:space="0" w:color="auto"/>
      </w:divBdr>
    </w:div>
    <w:div w:id="1217356614">
      <w:bodyDiv w:val="1"/>
      <w:marLeft w:val="0"/>
      <w:marRight w:val="0"/>
      <w:marTop w:val="0"/>
      <w:marBottom w:val="0"/>
      <w:divBdr>
        <w:top w:val="none" w:sz="0" w:space="0" w:color="auto"/>
        <w:left w:val="none" w:sz="0" w:space="0" w:color="auto"/>
        <w:bottom w:val="none" w:sz="0" w:space="0" w:color="auto"/>
        <w:right w:val="none" w:sz="0" w:space="0" w:color="auto"/>
      </w:divBdr>
    </w:div>
    <w:div w:id="1224490709">
      <w:bodyDiv w:val="1"/>
      <w:marLeft w:val="0"/>
      <w:marRight w:val="0"/>
      <w:marTop w:val="0"/>
      <w:marBottom w:val="0"/>
      <w:divBdr>
        <w:top w:val="none" w:sz="0" w:space="0" w:color="auto"/>
        <w:left w:val="none" w:sz="0" w:space="0" w:color="auto"/>
        <w:bottom w:val="none" w:sz="0" w:space="0" w:color="auto"/>
        <w:right w:val="none" w:sz="0" w:space="0" w:color="auto"/>
      </w:divBdr>
    </w:div>
    <w:div w:id="1229536547">
      <w:bodyDiv w:val="1"/>
      <w:marLeft w:val="0"/>
      <w:marRight w:val="0"/>
      <w:marTop w:val="0"/>
      <w:marBottom w:val="0"/>
      <w:divBdr>
        <w:top w:val="none" w:sz="0" w:space="0" w:color="auto"/>
        <w:left w:val="none" w:sz="0" w:space="0" w:color="auto"/>
        <w:bottom w:val="none" w:sz="0" w:space="0" w:color="auto"/>
        <w:right w:val="none" w:sz="0" w:space="0" w:color="auto"/>
      </w:divBdr>
    </w:div>
    <w:div w:id="1243563267">
      <w:bodyDiv w:val="1"/>
      <w:marLeft w:val="0"/>
      <w:marRight w:val="0"/>
      <w:marTop w:val="0"/>
      <w:marBottom w:val="0"/>
      <w:divBdr>
        <w:top w:val="none" w:sz="0" w:space="0" w:color="auto"/>
        <w:left w:val="none" w:sz="0" w:space="0" w:color="auto"/>
        <w:bottom w:val="none" w:sz="0" w:space="0" w:color="auto"/>
        <w:right w:val="none" w:sz="0" w:space="0" w:color="auto"/>
      </w:divBdr>
    </w:div>
    <w:div w:id="1243761696">
      <w:bodyDiv w:val="1"/>
      <w:marLeft w:val="0"/>
      <w:marRight w:val="0"/>
      <w:marTop w:val="0"/>
      <w:marBottom w:val="0"/>
      <w:divBdr>
        <w:top w:val="none" w:sz="0" w:space="0" w:color="auto"/>
        <w:left w:val="none" w:sz="0" w:space="0" w:color="auto"/>
        <w:bottom w:val="none" w:sz="0" w:space="0" w:color="auto"/>
        <w:right w:val="none" w:sz="0" w:space="0" w:color="auto"/>
      </w:divBdr>
    </w:div>
    <w:div w:id="1248615752">
      <w:bodyDiv w:val="1"/>
      <w:marLeft w:val="0"/>
      <w:marRight w:val="0"/>
      <w:marTop w:val="0"/>
      <w:marBottom w:val="0"/>
      <w:divBdr>
        <w:top w:val="none" w:sz="0" w:space="0" w:color="auto"/>
        <w:left w:val="none" w:sz="0" w:space="0" w:color="auto"/>
        <w:bottom w:val="none" w:sz="0" w:space="0" w:color="auto"/>
        <w:right w:val="none" w:sz="0" w:space="0" w:color="auto"/>
      </w:divBdr>
    </w:div>
    <w:div w:id="1251622781">
      <w:bodyDiv w:val="1"/>
      <w:marLeft w:val="0"/>
      <w:marRight w:val="0"/>
      <w:marTop w:val="0"/>
      <w:marBottom w:val="0"/>
      <w:divBdr>
        <w:top w:val="none" w:sz="0" w:space="0" w:color="auto"/>
        <w:left w:val="none" w:sz="0" w:space="0" w:color="auto"/>
        <w:bottom w:val="none" w:sz="0" w:space="0" w:color="auto"/>
        <w:right w:val="none" w:sz="0" w:space="0" w:color="auto"/>
      </w:divBdr>
    </w:div>
    <w:div w:id="1258438625">
      <w:bodyDiv w:val="1"/>
      <w:marLeft w:val="0"/>
      <w:marRight w:val="0"/>
      <w:marTop w:val="0"/>
      <w:marBottom w:val="0"/>
      <w:divBdr>
        <w:top w:val="none" w:sz="0" w:space="0" w:color="auto"/>
        <w:left w:val="none" w:sz="0" w:space="0" w:color="auto"/>
        <w:bottom w:val="none" w:sz="0" w:space="0" w:color="auto"/>
        <w:right w:val="none" w:sz="0" w:space="0" w:color="auto"/>
      </w:divBdr>
    </w:div>
    <w:div w:id="1270233141">
      <w:bodyDiv w:val="1"/>
      <w:marLeft w:val="0"/>
      <w:marRight w:val="0"/>
      <w:marTop w:val="0"/>
      <w:marBottom w:val="0"/>
      <w:divBdr>
        <w:top w:val="none" w:sz="0" w:space="0" w:color="auto"/>
        <w:left w:val="none" w:sz="0" w:space="0" w:color="auto"/>
        <w:bottom w:val="none" w:sz="0" w:space="0" w:color="auto"/>
        <w:right w:val="none" w:sz="0" w:space="0" w:color="auto"/>
      </w:divBdr>
    </w:div>
    <w:div w:id="1273510307">
      <w:bodyDiv w:val="1"/>
      <w:marLeft w:val="0"/>
      <w:marRight w:val="0"/>
      <w:marTop w:val="0"/>
      <w:marBottom w:val="0"/>
      <w:divBdr>
        <w:top w:val="none" w:sz="0" w:space="0" w:color="auto"/>
        <w:left w:val="none" w:sz="0" w:space="0" w:color="auto"/>
        <w:bottom w:val="none" w:sz="0" w:space="0" w:color="auto"/>
        <w:right w:val="none" w:sz="0" w:space="0" w:color="auto"/>
      </w:divBdr>
    </w:div>
    <w:div w:id="1276017276">
      <w:bodyDiv w:val="1"/>
      <w:marLeft w:val="0"/>
      <w:marRight w:val="0"/>
      <w:marTop w:val="0"/>
      <w:marBottom w:val="0"/>
      <w:divBdr>
        <w:top w:val="none" w:sz="0" w:space="0" w:color="auto"/>
        <w:left w:val="none" w:sz="0" w:space="0" w:color="auto"/>
        <w:bottom w:val="none" w:sz="0" w:space="0" w:color="auto"/>
        <w:right w:val="none" w:sz="0" w:space="0" w:color="auto"/>
      </w:divBdr>
    </w:div>
    <w:div w:id="1280140010">
      <w:bodyDiv w:val="1"/>
      <w:marLeft w:val="0"/>
      <w:marRight w:val="0"/>
      <w:marTop w:val="0"/>
      <w:marBottom w:val="0"/>
      <w:divBdr>
        <w:top w:val="none" w:sz="0" w:space="0" w:color="auto"/>
        <w:left w:val="none" w:sz="0" w:space="0" w:color="auto"/>
        <w:bottom w:val="none" w:sz="0" w:space="0" w:color="auto"/>
        <w:right w:val="none" w:sz="0" w:space="0" w:color="auto"/>
      </w:divBdr>
    </w:div>
    <w:div w:id="1281379146">
      <w:bodyDiv w:val="1"/>
      <w:marLeft w:val="0"/>
      <w:marRight w:val="0"/>
      <w:marTop w:val="0"/>
      <w:marBottom w:val="0"/>
      <w:divBdr>
        <w:top w:val="none" w:sz="0" w:space="0" w:color="auto"/>
        <w:left w:val="none" w:sz="0" w:space="0" w:color="auto"/>
        <w:bottom w:val="none" w:sz="0" w:space="0" w:color="auto"/>
        <w:right w:val="none" w:sz="0" w:space="0" w:color="auto"/>
      </w:divBdr>
    </w:div>
    <w:div w:id="1283151354">
      <w:bodyDiv w:val="1"/>
      <w:marLeft w:val="0"/>
      <w:marRight w:val="0"/>
      <w:marTop w:val="0"/>
      <w:marBottom w:val="0"/>
      <w:divBdr>
        <w:top w:val="none" w:sz="0" w:space="0" w:color="auto"/>
        <w:left w:val="none" w:sz="0" w:space="0" w:color="auto"/>
        <w:bottom w:val="none" w:sz="0" w:space="0" w:color="auto"/>
        <w:right w:val="none" w:sz="0" w:space="0" w:color="auto"/>
      </w:divBdr>
    </w:div>
    <w:div w:id="1283263387">
      <w:bodyDiv w:val="1"/>
      <w:marLeft w:val="0"/>
      <w:marRight w:val="0"/>
      <w:marTop w:val="0"/>
      <w:marBottom w:val="0"/>
      <w:divBdr>
        <w:top w:val="none" w:sz="0" w:space="0" w:color="auto"/>
        <w:left w:val="none" w:sz="0" w:space="0" w:color="auto"/>
        <w:bottom w:val="none" w:sz="0" w:space="0" w:color="auto"/>
        <w:right w:val="none" w:sz="0" w:space="0" w:color="auto"/>
      </w:divBdr>
    </w:div>
    <w:div w:id="1284579813">
      <w:bodyDiv w:val="1"/>
      <w:marLeft w:val="0"/>
      <w:marRight w:val="0"/>
      <w:marTop w:val="0"/>
      <w:marBottom w:val="0"/>
      <w:divBdr>
        <w:top w:val="none" w:sz="0" w:space="0" w:color="auto"/>
        <w:left w:val="none" w:sz="0" w:space="0" w:color="auto"/>
        <w:bottom w:val="none" w:sz="0" w:space="0" w:color="auto"/>
        <w:right w:val="none" w:sz="0" w:space="0" w:color="auto"/>
      </w:divBdr>
    </w:div>
    <w:div w:id="1288005700">
      <w:bodyDiv w:val="1"/>
      <w:marLeft w:val="0"/>
      <w:marRight w:val="0"/>
      <w:marTop w:val="0"/>
      <w:marBottom w:val="0"/>
      <w:divBdr>
        <w:top w:val="none" w:sz="0" w:space="0" w:color="auto"/>
        <w:left w:val="none" w:sz="0" w:space="0" w:color="auto"/>
        <w:bottom w:val="none" w:sz="0" w:space="0" w:color="auto"/>
        <w:right w:val="none" w:sz="0" w:space="0" w:color="auto"/>
      </w:divBdr>
    </w:div>
    <w:div w:id="1290012653">
      <w:bodyDiv w:val="1"/>
      <w:marLeft w:val="0"/>
      <w:marRight w:val="0"/>
      <w:marTop w:val="0"/>
      <w:marBottom w:val="0"/>
      <w:divBdr>
        <w:top w:val="none" w:sz="0" w:space="0" w:color="auto"/>
        <w:left w:val="none" w:sz="0" w:space="0" w:color="auto"/>
        <w:bottom w:val="none" w:sz="0" w:space="0" w:color="auto"/>
        <w:right w:val="none" w:sz="0" w:space="0" w:color="auto"/>
      </w:divBdr>
    </w:div>
    <w:div w:id="1292705277">
      <w:bodyDiv w:val="1"/>
      <w:marLeft w:val="0"/>
      <w:marRight w:val="0"/>
      <w:marTop w:val="0"/>
      <w:marBottom w:val="0"/>
      <w:divBdr>
        <w:top w:val="none" w:sz="0" w:space="0" w:color="auto"/>
        <w:left w:val="none" w:sz="0" w:space="0" w:color="auto"/>
        <w:bottom w:val="none" w:sz="0" w:space="0" w:color="auto"/>
        <w:right w:val="none" w:sz="0" w:space="0" w:color="auto"/>
      </w:divBdr>
    </w:div>
    <w:div w:id="1301694565">
      <w:bodyDiv w:val="1"/>
      <w:marLeft w:val="0"/>
      <w:marRight w:val="0"/>
      <w:marTop w:val="0"/>
      <w:marBottom w:val="0"/>
      <w:divBdr>
        <w:top w:val="none" w:sz="0" w:space="0" w:color="auto"/>
        <w:left w:val="none" w:sz="0" w:space="0" w:color="auto"/>
        <w:bottom w:val="none" w:sz="0" w:space="0" w:color="auto"/>
        <w:right w:val="none" w:sz="0" w:space="0" w:color="auto"/>
      </w:divBdr>
    </w:div>
    <w:div w:id="1302232539">
      <w:bodyDiv w:val="1"/>
      <w:marLeft w:val="0"/>
      <w:marRight w:val="0"/>
      <w:marTop w:val="0"/>
      <w:marBottom w:val="0"/>
      <w:divBdr>
        <w:top w:val="none" w:sz="0" w:space="0" w:color="auto"/>
        <w:left w:val="none" w:sz="0" w:space="0" w:color="auto"/>
        <w:bottom w:val="none" w:sz="0" w:space="0" w:color="auto"/>
        <w:right w:val="none" w:sz="0" w:space="0" w:color="auto"/>
      </w:divBdr>
    </w:div>
    <w:div w:id="1305432511">
      <w:bodyDiv w:val="1"/>
      <w:marLeft w:val="0"/>
      <w:marRight w:val="0"/>
      <w:marTop w:val="0"/>
      <w:marBottom w:val="0"/>
      <w:divBdr>
        <w:top w:val="none" w:sz="0" w:space="0" w:color="auto"/>
        <w:left w:val="none" w:sz="0" w:space="0" w:color="auto"/>
        <w:bottom w:val="none" w:sz="0" w:space="0" w:color="auto"/>
        <w:right w:val="none" w:sz="0" w:space="0" w:color="auto"/>
      </w:divBdr>
    </w:div>
    <w:div w:id="1306466338">
      <w:bodyDiv w:val="1"/>
      <w:marLeft w:val="0"/>
      <w:marRight w:val="0"/>
      <w:marTop w:val="0"/>
      <w:marBottom w:val="0"/>
      <w:divBdr>
        <w:top w:val="none" w:sz="0" w:space="0" w:color="auto"/>
        <w:left w:val="none" w:sz="0" w:space="0" w:color="auto"/>
        <w:bottom w:val="none" w:sz="0" w:space="0" w:color="auto"/>
        <w:right w:val="none" w:sz="0" w:space="0" w:color="auto"/>
      </w:divBdr>
    </w:div>
    <w:div w:id="1307272747">
      <w:bodyDiv w:val="1"/>
      <w:marLeft w:val="0"/>
      <w:marRight w:val="0"/>
      <w:marTop w:val="0"/>
      <w:marBottom w:val="0"/>
      <w:divBdr>
        <w:top w:val="none" w:sz="0" w:space="0" w:color="auto"/>
        <w:left w:val="none" w:sz="0" w:space="0" w:color="auto"/>
        <w:bottom w:val="none" w:sz="0" w:space="0" w:color="auto"/>
        <w:right w:val="none" w:sz="0" w:space="0" w:color="auto"/>
      </w:divBdr>
    </w:div>
    <w:div w:id="1312170875">
      <w:bodyDiv w:val="1"/>
      <w:marLeft w:val="0"/>
      <w:marRight w:val="0"/>
      <w:marTop w:val="0"/>
      <w:marBottom w:val="0"/>
      <w:divBdr>
        <w:top w:val="none" w:sz="0" w:space="0" w:color="auto"/>
        <w:left w:val="none" w:sz="0" w:space="0" w:color="auto"/>
        <w:bottom w:val="none" w:sz="0" w:space="0" w:color="auto"/>
        <w:right w:val="none" w:sz="0" w:space="0" w:color="auto"/>
      </w:divBdr>
    </w:div>
    <w:div w:id="1312708782">
      <w:bodyDiv w:val="1"/>
      <w:marLeft w:val="0"/>
      <w:marRight w:val="0"/>
      <w:marTop w:val="0"/>
      <w:marBottom w:val="0"/>
      <w:divBdr>
        <w:top w:val="none" w:sz="0" w:space="0" w:color="auto"/>
        <w:left w:val="none" w:sz="0" w:space="0" w:color="auto"/>
        <w:bottom w:val="none" w:sz="0" w:space="0" w:color="auto"/>
        <w:right w:val="none" w:sz="0" w:space="0" w:color="auto"/>
      </w:divBdr>
    </w:div>
    <w:div w:id="1312753345">
      <w:bodyDiv w:val="1"/>
      <w:marLeft w:val="0"/>
      <w:marRight w:val="0"/>
      <w:marTop w:val="0"/>
      <w:marBottom w:val="0"/>
      <w:divBdr>
        <w:top w:val="none" w:sz="0" w:space="0" w:color="auto"/>
        <w:left w:val="none" w:sz="0" w:space="0" w:color="auto"/>
        <w:bottom w:val="none" w:sz="0" w:space="0" w:color="auto"/>
        <w:right w:val="none" w:sz="0" w:space="0" w:color="auto"/>
      </w:divBdr>
    </w:div>
    <w:div w:id="1313559210">
      <w:bodyDiv w:val="1"/>
      <w:marLeft w:val="0"/>
      <w:marRight w:val="0"/>
      <w:marTop w:val="0"/>
      <w:marBottom w:val="0"/>
      <w:divBdr>
        <w:top w:val="none" w:sz="0" w:space="0" w:color="auto"/>
        <w:left w:val="none" w:sz="0" w:space="0" w:color="auto"/>
        <w:bottom w:val="none" w:sz="0" w:space="0" w:color="auto"/>
        <w:right w:val="none" w:sz="0" w:space="0" w:color="auto"/>
      </w:divBdr>
    </w:div>
    <w:div w:id="1314725032">
      <w:bodyDiv w:val="1"/>
      <w:marLeft w:val="0"/>
      <w:marRight w:val="0"/>
      <w:marTop w:val="0"/>
      <w:marBottom w:val="0"/>
      <w:divBdr>
        <w:top w:val="none" w:sz="0" w:space="0" w:color="auto"/>
        <w:left w:val="none" w:sz="0" w:space="0" w:color="auto"/>
        <w:bottom w:val="none" w:sz="0" w:space="0" w:color="auto"/>
        <w:right w:val="none" w:sz="0" w:space="0" w:color="auto"/>
      </w:divBdr>
    </w:div>
    <w:div w:id="1317029576">
      <w:bodyDiv w:val="1"/>
      <w:marLeft w:val="0"/>
      <w:marRight w:val="0"/>
      <w:marTop w:val="0"/>
      <w:marBottom w:val="0"/>
      <w:divBdr>
        <w:top w:val="none" w:sz="0" w:space="0" w:color="auto"/>
        <w:left w:val="none" w:sz="0" w:space="0" w:color="auto"/>
        <w:bottom w:val="none" w:sz="0" w:space="0" w:color="auto"/>
        <w:right w:val="none" w:sz="0" w:space="0" w:color="auto"/>
      </w:divBdr>
    </w:div>
    <w:div w:id="1318193374">
      <w:bodyDiv w:val="1"/>
      <w:marLeft w:val="0"/>
      <w:marRight w:val="0"/>
      <w:marTop w:val="0"/>
      <w:marBottom w:val="0"/>
      <w:divBdr>
        <w:top w:val="none" w:sz="0" w:space="0" w:color="auto"/>
        <w:left w:val="none" w:sz="0" w:space="0" w:color="auto"/>
        <w:bottom w:val="none" w:sz="0" w:space="0" w:color="auto"/>
        <w:right w:val="none" w:sz="0" w:space="0" w:color="auto"/>
      </w:divBdr>
    </w:div>
    <w:div w:id="1319269797">
      <w:bodyDiv w:val="1"/>
      <w:marLeft w:val="0"/>
      <w:marRight w:val="0"/>
      <w:marTop w:val="0"/>
      <w:marBottom w:val="0"/>
      <w:divBdr>
        <w:top w:val="none" w:sz="0" w:space="0" w:color="auto"/>
        <w:left w:val="none" w:sz="0" w:space="0" w:color="auto"/>
        <w:bottom w:val="none" w:sz="0" w:space="0" w:color="auto"/>
        <w:right w:val="none" w:sz="0" w:space="0" w:color="auto"/>
      </w:divBdr>
    </w:div>
    <w:div w:id="1320385110">
      <w:bodyDiv w:val="1"/>
      <w:marLeft w:val="0"/>
      <w:marRight w:val="0"/>
      <w:marTop w:val="0"/>
      <w:marBottom w:val="0"/>
      <w:divBdr>
        <w:top w:val="none" w:sz="0" w:space="0" w:color="auto"/>
        <w:left w:val="none" w:sz="0" w:space="0" w:color="auto"/>
        <w:bottom w:val="none" w:sz="0" w:space="0" w:color="auto"/>
        <w:right w:val="none" w:sz="0" w:space="0" w:color="auto"/>
      </w:divBdr>
    </w:div>
    <w:div w:id="1324580674">
      <w:bodyDiv w:val="1"/>
      <w:marLeft w:val="0"/>
      <w:marRight w:val="0"/>
      <w:marTop w:val="0"/>
      <w:marBottom w:val="0"/>
      <w:divBdr>
        <w:top w:val="none" w:sz="0" w:space="0" w:color="auto"/>
        <w:left w:val="none" w:sz="0" w:space="0" w:color="auto"/>
        <w:bottom w:val="none" w:sz="0" w:space="0" w:color="auto"/>
        <w:right w:val="none" w:sz="0" w:space="0" w:color="auto"/>
      </w:divBdr>
    </w:div>
    <w:div w:id="1325931893">
      <w:bodyDiv w:val="1"/>
      <w:marLeft w:val="0"/>
      <w:marRight w:val="0"/>
      <w:marTop w:val="0"/>
      <w:marBottom w:val="0"/>
      <w:divBdr>
        <w:top w:val="none" w:sz="0" w:space="0" w:color="auto"/>
        <w:left w:val="none" w:sz="0" w:space="0" w:color="auto"/>
        <w:bottom w:val="none" w:sz="0" w:space="0" w:color="auto"/>
        <w:right w:val="none" w:sz="0" w:space="0" w:color="auto"/>
      </w:divBdr>
    </w:div>
    <w:div w:id="1326350065">
      <w:bodyDiv w:val="1"/>
      <w:marLeft w:val="0"/>
      <w:marRight w:val="0"/>
      <w:marTop w:val="0"/>
      <w:marBottom w:val="0"/>
      <w:divBdr>
        <w:top w:val="none" w:sz="0" w:space="0" w:color="auto"/>
        <w:left w:val="none" w:sz="0" w:space="0" w:color="auto"/>
        <w:bottom w:val="none" w:sz="0" w:space="0" w:color="auto"/>
        <w:right w:val="none" w:sz="0" w:space="0" w:color="auto"/>
      </w:divBdr>
    </w:div>
    <w:div w:id="1328091054">
      <w:bodyDiv w:val="1"/>
      <w:marLeft w:val="0"/>
      <w:marRight w:val="0"/>
      <w:marTop w:val="0"/>
      <w:marBottom w:val="0"/>
      <w:divBdr>
        <w:top w:val="none" w:sz="0" w:space="0" w:color="auto"/>
        <w:left w:val="none" w:sz="0" w:space="0" w:color="auto"/>
        <w:bottom w:val="none" w:sz="0" w:space="0" w:color="auto"/>
        <w:right w:val="none" w:sz="0" w:space="0" w:color="auto"/>
      </w:divBdr>
    </w:div>
    <w:div w:id="1329821176">
      <w:bodyDiv w:val="1"/>
      <w:marLeft w:val="0"/>
      <w:marRight w:val="0"/>
      <w:marTop w:val="0"/>
      <w:marBottom w:val="0"/>
      <w:divBdr>
        <w:top w:val="none" w:sz="0" w:space="0" w:color="auto"/>
        <w:left w:val="none" w:sz="0" w:space="0" w:color="auto"/>
        <w:bottom w:val="none" w:sz="0" w:space="0" w:color="auto"/>
        <w:right w:val="none" w:sz="0" w:space="0" w:color="auto"/>
      </w:divBdr>
    </w:div>
    <w:div w:id="1330013226">
      <w:bodyDiv w:val="1"/>
      <w:marLeft w:val="0"/>
      <w:marRight w:val="0"/>
      <w:marTop w:val="0"/>
      <w:marBottom w:val="0"/>
      <w:divBdr>
        <w:top w:val="none" w:sz="0" w:space="0" w:color="auto"/>
        <w:left w:val="none" w:sz="0" w:space="0" w:color="auto"/>
        <w:bottom w:val="none" w:sz="0" w:space="0" w:color="auto"/>
        <w:right w:val="none" w:sz="0" w:space="0" w:color="auto"/>
      </w:divBdr>
    </w:div>
    <w:div w:id="1331369984">
      <w:bodyDiv w:val="1"/>
      <w:marLeft w:val="0"/>
      <w:marRight w:val="0"/>
      <w:marTop w:val="0"/>
      <w:marBottom w:val="0"/>
      <w:divBdr>
        <w:top w:val="none" w:sz="0" w:space="0" w:color="auto"/>
        <w:left w:val="none" w:sz="0" w:space="0" w:color="auto"/>
        <w:bottom w:val="none" w:sz="0" w:space="0" w:color="auto"/>
        <w:right w:val="none" w:sz="0" w:space="0" w:color="auto"/>
      </w:divBdr>
    </w:div>
    <w:div w:id="1331757750">
      <w:bodyDiv w:val="1"/>
      <w:marLeft w:val="0"/>
      <w:marRight w:val="0"/>
      <w:marTop w:val="0"/>
      <w:marBottom w:val="0"/>
      <w:divBdr>
        <w:top w:val="none" w:sz="0" w:space="0" w:color="auto"/>
        <w:left w:val="none" w:sz="0" w:space="0" w:color="auto"/>
        <w:bottom w:val="none" w:sz="0" w:space="0" w:color="auto"/>
        <w:right w:val="none" w:sz="0" w:space="0" w:color="auto"/>
      </w:divBdr>
    </w:div>
    <w:div w:id="1337609815">
      <w:bodyDiv w:val="1"/>
      <w:marLeft w:val="0"/>
      <w:marRight w:val="0"/>
      <w:marTop w:val="0"/>
      <w:marBottom w:val="0"/>
      <w:divBdr>
        <w:top w:val="none" w:sz="0" w:space="0" w:color="auto"/>
        <w:left w:val="none" w:sz="0" w:space="0" w:color="auto"/>
        <w:bottom w:val="none" w:sz="0" w:space="0" w:color="auto"/>
        <w:right w:val="none" w:sz="0" w:space="0" w:color="auto"/>
      </w:divBdr>
    </w:div>
    <w:div w:id="1338845018">
      <w:bodyDiv w:val="1"/>
      <w:marLeft w:val="0"/>
      <w:marRight w:val="0"/>
      <w:marTop w:val="0"/>
      <w:marBottom w:val="0"/>
      <w:divBdr>
        <w:top w:val="none" w:sz="0" w:space="0" w:color="auto"/>
        <w:left w:val="none" w:sz="0" w:space="0" w:color="auto"/>
        <w:bottom w:val="none" w:sz="0" w:space="0" w:color="auto"/>
        <w:right w:val="none" w:sz="0" w:space="0" w:color="auto"/>
      </w:divBdr>
    </w:div>
    <w:div w:id="1341859041">
      <w:bodyDiv w:val="1"/>
      <w:marLeft w:val="0"/>
      <w:marRight w:val="0"/>
      <w:marTop w:val="0"/>
      <w:marBottom w:val="0"/>
      <w:divBdr>
        <w:top w:val="none" w:sz="0" w:space="0" w:color="auto"/>
        <w:left w:val="none" w:sz="0" w:space="0" w:color="auto"/>
        <w:bottom w:val="none" w:sz="0" w:space="0" w:color="auto"/>
        <w:right w:val="none" w:sz="0" w:space="0" w:color="auto"/>
      </w:divBdr>
    </w:div>
    <w:div w:id="1342124428">
      <w:bodyDiv w:val="1"/>
      <w:marLeft w:val="0"/>
      <w:marRight w:val="0"/>
      <w:marTop w:val="0"/>
      <w:marBottom w:val="0"/>
      <w:divBdr>
        <w:top w:val="none" w:sz="0" w:space="0" w:color="auto"/>
        <w:left w:val="none" w:sz="0" w:space="0" w:color="auto"/>
        <w:bottom w:val="none" w:sz="0" w:space="0" w:color="auto"/>
        <w:right w:val="none" w:sz="0" w:space="0" w:color="auto"/>
      </w:divBdr>
    </w:div>
    <w:div w:id="1346982358">
      <w:bodyDiv w:val="1"/>
      <w:marLeft w:val="0"/>
      <w:marRight w:val="0"/>
      <w:marTop w:val="0"/>
      <w:marBottom w:val="0"/>
      <w:divBdr>
        <w:top w:val="none" w:sz="0" w:space="0" w:color="auto"/>
        <w:left w:val="none" w:sz="0" w:space="0" w:color="auto"/>
        <w:bottom w:val="none" w:sz="0" w:space="0" w:color="auto"/>
        <w:right w:val="none" w:sz="0" w:space="0" w:color="auto"/>
      </w:divBdr>
    </w:div>
    <w:div w:id="1349526389">
      <w:bodyDiv w:val="1"/>
      <w:marLeft w:val="0"/>
      <w:marRight w:val="0"/>
      <w:marTop w:val="0"/>
      <w:marBottom w:val="0"/>
      <w:divBdr>
        <w:top w:val="none" w:sz="0" w:space="0" w:color="auto"/>
        <w:left w:val="none" w:sz="0" w:space="0" w:color="auto"/>
        <w:bottom w:val="none" w:sz="0" w:space="0" w:color="auto"/>
        <w:right w:val="none" w:sz="0" w:space="0" w:color="auto"/>
      </w:divBdr>
    </w:div>
    <w:div w:id="1349990522">
      <w:bodyDiv w:val="1"/>
      <w:marLeft w:val="0"/>
      <w:marRight w:val="0"/>
      <w:marTop w:val="0"/>
      <w:marBottom w:val="0"/>
      <w:divBdr>
        <w:top w:val="none" w:sz="0" w:space="0" w:color="auto"/>
        <w:left w:val="none" w:sz="0" w:space="0" w:color="auto"/>
        <w:bottom w:val="none" w:sz="0" w:space="0" w:color="auto"/>
        <w:right w:val="none" w:sz="0" w:space="0" w:color="auto"/>
      </w:divBdr>
    </w:div>
    <w:div w:id="1352494106">
      <w:bodyDiv w:val="1"/>
      <w:marLeft w:val="0"/>
      <w:marRight w:val="0"/>
      <w:marTop w:val="0"/>
      <w:marBottom w:val="0"/>
      <w:divBdr>
        <w:top w:val="none" w:sz="0" w:space="0" w:color="auto"/>
        <w:left w:val="none" w:sz="0" w:space="0" w:color="auto"/>
        <w:bottom w:val="none" w:sz="0" w:space="0" w:color="auto"/>
        <w:right w:val="none" w:sz="0" w:space="0" w:color="auto"/>
      </w:divBdr>
    </w:div>
    <w:div w:id="1359115195">
      <w:bodyDiv w:val="1"/>
      <w:marLeft w:val="0"/>
      <w:marRight w:val="0"/>
      <w:marTop w:val="0"/>
      <w:marBottom w:val="0"/>
      <w:divBdr>
        <w:top w:val="none" w:sz="0" w:space="0" w:color="auto"/>
        <w:left w:val="none" w:sz="0" w:space="0" w:color="auto"/>
        <w:bottom w:val="none" w:sz="0" w:space="0" w:color="auto"/>
        <w:right w:val="none" w:sz="0" w:space="0" w:color="auto"/>
      </w:divBdr>
    </w:div>
    <w:div w:id="1360621016">
      <w:bodyDiv w:val="1"/>
      <w:marLeft w:val="0"/>
      <w:marRight w:val="0"/>
      <w:marTop w:val="0"/>
      <w:marBottom w:val="0"/>
      <w:divBdr>
        <w:top w:val="none" w:sz="0" w:space="0" w:color="auto"/>
        <w:left w:val="none" w:sz="0" w:space="0" w:color="auto"/>
        <w:bottom w:val="none" w:sz="0" w:space="0" w:color="auto"/>
        <w:right w:val="none" w:sz="0" w:space="0" w:color="auto"/>
      </w:divBdr>
    </w:div>
    <w:div w:id="1360741984">
      <w:bodyDiv w:val="1"/>
      <w:marLeft w:val="0"/>
      <w:marRight w:val="0"/>
      <w:marTop w:val="0"/>
      <w:marBottom w:val="0"/>
      <w:divBdr>
        <w:top w:val="none" w:sz="0" w:space="0" w:color="auto"/>
        <w:left w:val="none" w:sz="0" w:space="0" w:color="auto"/>
        <w:bottom w:val="none" w:sz="0" w:space="0" w:color="auto"/>
        <w:right w:val="none" w:sz="0" w:space="0" w:color="auto"/>
      </w:divBdr>
    </w:div>
    <w:div w:id="1371227157">
      <w:bodyDiv w:val="1"/>
      <w:marLeft w:val="0"/>
      <w:marRight w:val="0"/>
      <w:marTop w:val="0"/>
      <w:marBottom w:val="0"/>
      <w:divBdr>
        <w:top w:val="none" w:sz="0" w:space="0" w:color="auto"/>
        <w:left w:val="none" w:sz="0" w:space="0" w:color="auto"/>
        <w:bottom w:val="none" w:sz="0" w:space="0" w:color="auto"/>
        <w:right w:val="none" w:sz="0" w:space="0" w:color="auto"/>
      </w:divBdr>
    </w:div>
    <w:div w:id="1373312513">
      <w:bodyDiv w:val="1"/>
      <w:marLeft w:val="0"/>
      <w:marRight w:val="0"/>
      <w:marTop w:val="0"/>
      <w:marBottom w:val="0"/>
      <w:divBdr>
        <w:top w:val="none" w:sz="0" w:space="0" w:color="auto"/>
        <w:left w:val="none" w:sz="0" w:space="0" w:color="auto"/>
        <w:bottom w:val="none" w:sz="0" w:space="0" w:color="auto"/>
        <w:right w:val="none" w:sz="0" w:space="0" w:color="auto"/>
      </w:divBdr>
    </w:div>
    <w:div w:id="1374428777">
      <w:bodyDiv w:val="1"/>
      <w:marLeft w:val="0"/>
      <w:marRight w:val="0"/>
      <w:marTop w:val="0"/>
      <w:marBottom w:val="0"/>
      <w:divBdr>
        <w:top w:val="none" w:sz="0" w:space="0" w:color="auto"/>
        <w:left w:val="none" w:sz="0" w:space="0" w:color="auto"/>
        <w:bottom w:val="none" w:sz="0" w:space="0" w:color="auto"/>
        <w:right w:val="none" w:sz="0" w:space="0" w:color="auto"/>
      </w:divBdr>
    </w:div>
    <w:div w:id="1378120674">
      <w:bodyDiv w:val="1"/>
      <w:marLeft w:val="0"/>
      <w:marRight w:val="0"/>
      <w:marTop w:val="0"/>
      <w:marBottom w:val="0"/>
      <w:divBdr>
        <w:top w:val="none" w:sz="0" w:space="0" w:color="auto"/>
        <w:left w:val="none" w:sz="0" w:space="0" w:color="auto"/>
        <w:bottom w:val="none" w:sz="0" w:space="0" w:color="auto"/>
        <w:right w:val="none" w:sz="0" w:space="0" w:color="auto"/>
      </w:divBdr>
    </w:div>
    <w:div w:id="1391152950">
      <w:bodyDiv w:val="1"/>
      <w:marLeft w:val="0"/>
      <w:marRight w:val="0"/>
      <w:marTop w:val="0"/>
      <w:marBottom w:val="0"/>
      <w:divBdr>
        <w:top w:val="none" w:sz="0" w:space="0" w:color="auto"/>
        <w:left w:val="none" w:sz="0" w:space="0" w:color="auto"/>
        <w:bottom w:val="none" w:sz="0" w:space="0" w:color="auto"/>
        <w:right w:val="none" w:sz="0" w:space="0" w:color="auto"/>
      </w:divBdr>
    </w:div>
    <w:div w:id="1392076719">
      <w:bodyDiv w:val="1"/>
      <w:marLeft w:val="0"/>
      <w:marRight w:val="0"/>
      <w:marTop w:val="0"/>
      <w:marBottom w:val="0"/>
      <w:divBdr>
        <w:top w:val="none" w:sz="0" w:space="0" w:color="auto"/>
        <w:left w:val="none" w:sz="0" w:space="0" w:color="auto"/>
        <w:bottom w:val="none" w:sz="0" w:space="0" w:color="auto"/>
        <w:right w:val="none" w:sz="0" w:space="0" w:color="auto"/>
      </w:divBdr>
    </w:div>
    <w:div w:id="1396124181">
      <w:bodyDiv w:val="1"/>
      <w:marLeft w:val="0"/>
      <w:marRight w:val="0"/>
      <w:marTop w:val="0"/>
      <w:marBottom w:val="0"/>
      <w:divBdr>
        <w:top w:val="none" w:sz="0" w:space="0" w:color="auto"/>
        <w:left w:val="none" w:sz="0" w:space="0" w:color="auto"/>
        <w:bottom w:val="none" w:sz="0" w:space="0" w:color="auto"/>
        <w:right w:val="none" w:sz="0" w:space="0" w:color="auto"/>
      </w:divBdr>
    </w:div>
    <w:div w:id="1405831701">
      <w:bodyDiv w:val="1"/>
      <w:marLeft w:val="0"/>
      <w:marRight w:val="0"/>
      <w:marTop w:val="0"/>
      <w:marBottom w:val="0"/>
      <w:divBdr>
        <w:top w:val="none" w:sz="0" w:space="0" w:color="auto"/>
        <w:left w:val="none" w:sz="0" w:space="0" w:color="auto"/>
        <w:bottom w:val="none" w:sz="0" w:space="0" w:color="auto"/>
        <w:right w:val="none" w:sz="0" w:space="0" w:color="auto"/>
      </w:divBdr>
    </w:div>
    <w:div w:id="1416438605">
      <w:bodyDiv w:val="1"/>
      <w:marLeft w:val="0"/>
      <w:marRight w:val="0"/>
      <w:marTop w:val="0"/>
      <w:marBottom w:val="0"/>
      <w:divBdr>
        <w:top w:val="none" w:sz="0" w:space="0" w:color="auto"/>
        <w:left w:val="none" w:sz="0" w:space="0" w:color="auto"/>
        <w:bottom w:val="none" w:sz="0" w:space="0" w:color="auto"/>
        <w:right w:val="none" w:sz="0" w:space="0" w:color="auto"/>
      </w:divBdr>
    </w:div>
    <w:div w:id="1416629620">
      <w:bodyDiv w:val="1"/>
      <w:marLeft w:val="0"/>
      <w:marRight w:val="0"/>
      <w:marTop w:val="0"/>
      <w:marBottom w:val="0"/>
      <w:divBdr>
        <w:top w:val="none" w:sz="0" w:space="0" w:color="auto"/>
        <w:left w:val="none" w:sz="0" w:space="0" w:color="auto"/>
        <w:bottom w:val="none" w:sz="0" w:space="0" w:color="auto"/>
        <w:right w:val="none" w:sz="0" w:space="0" w:color="auto"/>
      </w:divBdr>
    </w:div>
    <w:div w:id="1441947859">
      <w:bodyDiv w:val="1"/>
      <w:marLeft w:val="0"/>
      <w:marRight w:val="0"/>
      <w:marTop w:val="0"/>
      <w:marBottom w:val="0"/>
      <w:divBdr>
        <w:top w:val="none" w:sz="0" w:space="0" w:color="auto"/>
        <w:left w:val="none" w:sz="0" w:space="0" w:color="auto"/>
        <w:bottom w:val="none" w:sz="0" w:space="0" w:color="auto"/>
        <w:right w:val="none" w:sz="0" w:space="0" w:color="auto"/>
      </w:divBdr>
    </w:div>
    <w:div w:id="1445420402">
      <w:bodyDiv w:val="1"/>
      <w:marLeft w:val="0"/>
      <w:marRight w:val="0"/>
      <w:marTop w:val="0"/>
      <w:marBottom w:val="0"/>
      <w:divBdr>
        <w:top w:val="none" w:sz="0" w:space="0" w:color="auto"/>
        <w:left w:val="none" w:sz="0" w:space="0" w:color="auto"/>
        <w:bottom w:val="none" w:sz="0" w:space="0" w:color="auto"/>
        <w:right w:val="none" w:sz="0" w:space="0" w:color="auto"/>
      </w:divBdr>
    </w:div>
    <w:div w:id="1451315638">
      <w:bodyDiv w:val="1"/>
      <w:marLeft w:val="0"/>
      <w:marRight w:val="0"/>
      <w:marTop w:val="0"/>
      <w:marBottom w:val="0"/>
      <w:divBdr>
        <w:top w:val="none" w:sz="0" w:space="0" w:color="auto"/>
        <w:left w:val="none" w:sz="0" w:space="0" w:color="auto"/>
        <w:bottom w:val="none" w:sz="0" w:space="0" w:color="auto"/>
        <w:right w:val="none" w:sz="0" w:space="0" w:color="auto"/>
      </w:divBdr>
    </w:div>
    <w:div w:id="1455633008">
      <w:bodyDiv w:val="1"/>
      <w:marLeft w:val="0"/>
      <w:marRight w:val="0"/>
      <w:marTop w:val="0"/>
      <w:marBottom w:val="0"/>
      <w:divBdr>
        <w:top w:val="none" w:sz="0" w:space="0" w:color="auto"/>
        <w:left w:val="none" w:sz="0" w:space="0" w:color="auto"/>
        <w:bottom w:val="none" w:sz="0" w:space="0" w:color="auto"/>
        <w:right w:val="none" w:sz="0" w:space="0" w:color="auto"/>
      </w:divBdr>
    </w:div>
    <w:div w:id="1468669790">
      <w:bodyDiv w:val="1"/>
      <w:marLeft w:val="0"/>
      <w:marRight w:val="0"/>
      <w:marTop w:val="0"/>
      <w:marBottom w:val="0"/>
      <w:divBdr>
        <w:top w:val="none" w:sz="0" w:space="0" w:color="auto"/>
        <w:left w:val="none" w:sz="0" w:space="0" w:color="auto"/>
        <w:bottom w:val="none" w:sz="0" w:space="0" w:color="auto"/>
        <w:right w:val="none" w:sz="0" w:space="0" w:color="auto"/>
      </w:divBdr>
    </w:div>
    <w:div w:id="1472361576">
      <w:bodyDiv w:val="1"/>
      <w:marLeft w:val="0"/>
      <w:marRight w:val="0"/>
      <w:marTop w:val="0"/>
      <w:marBottom w:val="0"/>
      <w:divBdr>
        <w:top w:val="none" w:sz="0" w:space="0" w:color="auto"/>
        <w:left w:val="none" w:sz="0" w:space="0" w:color="auto"/>
        <w:bottom w:val="none" w:sz="0" w:space="0" w:color="auto"/>
        <w:right w:val="none" w:sz="0" w:space="0" w:color="auto"/>
      </w:divBdr>
    </w:div>
    <w:div w:id="1472865482">
      <w:bodyDiv w:val="1"/>
      <w:marLeft w:val="0"/>
      <w:marRight w:val="0"/>
      <w:marTop w:val="0"/>
      <w:marBottom w:val="0"/>
      <w:divBdr>
        <w:top w:val="none" w:sz="0" w:space="0" w:color="auto"/>
        <w:left w:val="none" w:sz="0" w:space="0" w:color="auto"/>
        <w:bottom w:val="none" w:sz="0" w:space="0" w:color="auto"/>
        <w:right w:val="none" w:sz="0" w:space="0" w:color="auto"/>
      </w:divBdr>
    </w:div>
    <w:div w:id="1478567491">
      <w:bodyDiv w:val="1"/>
      <w:marLeft w:val="0"/>
      <w:marRight w:val="0"/>
      <w:marTop w:val="0"/>
      <w:marBottom w:val="0"/>
      <w:divBdr>
        <w:top w:val="none" w:sz="0" w:space="0" w:color="auto"/>
        <w:left w:val="none" w:sz="0" w:space="0" w:color="auto"/>
        <w:bottom w:val="none" w:sz="0" w:space="0" w:color="auto"/>
        <w:right w:val="none" w:sz="0" w:space="0" w:color="auto"/>
      </w:divBdr>
    </w:div>
    <w:div w:id="1479371812">
      <w:bodyDiv w:val="1"/>
      <w:marLeft w:val="0"/>
      <w:marRight w:val="0"/>
      <w:marTop w:val="0"/>
      <w:marBottom w:val="0"/>
      <w:divBdr>
        <w:top w:val="none" w:sz="0" w:space="0" w:color="auto"/>
        <w:left w:val="none" w:sz="0" w:space="0" w:color="auto"/>
        <w:bottom w:val="none" w:sz="0" w:space="0" w:color="auto"/>
        <w:right w:val="none" w:sz="0" w:space="0" w:color="auto"/>
      </w:divBdr>
    </w:div>
    <w:div w:id="1481382067">
      <w:bodyDiv w:val="1"/>
      <w:marLeft w:val="0"/>
      <w:marRight w:val="0"/>
      <w:marTop w:val="0"/>
      <w:marBottom w:val="0"/>
      <w:divBdr>
        <w:top w:val="none" w:sz="0" w:space="0" w:color="auto"/>
        <w:left w:val="none" w:sz="0" w:space="0" w:color="auto"/>
        <w:bottom w:val="none" w:sz="0" w:space="0" w:color="auto"/>
        <w:right w:val="none" w:sz="0" w:space="0" w:color="auto"/>
      </w:divBdr>
    </w:div>
    <w:div w:id="1485320794">
      <w:bodyDiv w:val="1"/>
      <w:marLeft w:val="0"/>
      <w:marRight w:val="0"/>
      <w:marTop w:val="0"/>
      <w:marBottom w:val="0"/>
      <w:divBdr>
        <w:top w:val="none" w:sz="0" w:space="0" w:color="auto"/>
        <w:left w:val="none" w:sz="0" w:space="0" w:color="auto"/>
        <w:bottom w:val="none" w:sz="0" w:space="0" w:color="auto"/>
        <w:right w:val="none" w:sz="0" w:space="0" w:color="auto"/>
      </w:divBdr>
    </w:div>
    <w:div w:id="1498887550">
      <w:bodyDiv w:val="1"/>
      <w:marLeft w:val="0"/>
      <w:marRight w:val="0"/>
      <w:marTop w:val="0"/>
      <w:marBottom w:val="0"/>
      <w:divBdr>
        <w:top w:val="none" w:sz="0" w:space="0" w:color="auto"/>
        <w:left w:val="none" w:sz="0" w:space="0" w:color="auto"/>
        <w:bottom w:val="none" w:sz="0" w:space="0" w:color="auto"/>
        <w:right w:val="none" w:sz="0" w:space="0" w:color="auto"/>
      </w:divBdr>
    </w:div>
    <w:div w:id="1499496141">
      <w:bodyDiv w:val="1"/>
      <w:marLeft w:val="0"/>
      <w:marRight w:val="0"/>
      <w:marTop w:val="0"/>
      <w:marBottom w:val="0"/>
      <w:divBdr>
        <w:top w:val="none" w:sz="0" w:space="0" w:color="auto"/>
        <w:left w:val="none" w:sz="0" w:space="0" w:color="auto"/>
        <w:bottom w:val="none" w:sz="0" w:space="0" w:color="auto"/>
        <w:right w:val="none" w:sz="0" w:space="0" w:color="auto"/>
      </w:divBdr>
    </w:div>
    <w:div w:id="1506362895">
      <w:bodyDiv w:val="1"/>
      <w:marLeft w:val="0"/>
      <w:marRight w:val="0"/>
      <w:marTop w:val="0"/>
      <w:marBottom w:val="0"/>
      <w:divBdr>
        <w:top w:val="none" w:sz="0" w:space="0" w:color="auto"/>
        <w:left w:val="none" w:sz="0" w:space="0" w:color="auto"/>
        <w:bottom w:val="none" w:sz="0" w:space="0" w:color="auto"/>
        <w:right w:val="none" w:sz="0" w:space="0" w:color="auto"/>
      </w:divBdr>
    </w:div>
    <w:div w:id="1508252100">
      <w:bodyDiv w:val="1"/>
      <w:marLeft w:val="0"/>
      <w:marRight w:val="0"/>
      <w:marTop w:val="0"/>
      <w:marBottom w:val="0"/>
      <w:divBdr>
        <w:top w:val="none" w:sz="0" w:space="0" w:color="auto"/>
        <w:left w:val="none" w:sz="0" w:space="0" w:color="auto"/>
        <w:bottom w:val="none" w:sz="0" w:space="0" w:color="auto"/>
        <w:right w:val="none" w:sz="0" w:space="0" w:color="auto"/>
      </w:divBdr>
    </w:div>
    <w:div w:id="1509827982">
      <w:bodyDiv w:val="1"/>
      <w:marLeft w:val="0"/>
      <w:marRight w:val="0"/>
      <w:marTop w:val="0"/>
      <w:marBottom w:val="0"/>
      <w:divBdr>
        <w:top w:val="none" w:sz="0" w:space="0" w:color="auto"/>
        <w:left w:val="none" w:sz="0" w:space="0" w:color="auto"/>
        <w:bottom w:val="none" w:sz="0" w:space="0" w:color="auto"/>
        <w:right w:val="none" w:sz="0" w:space="0" w:color="auto"/>
      </w:divBdr>
    </w:div>
    <w:div w:id="1522940131">
      <w:bodyDiv w:val="1"/>
      <w:marLeft w:val="0"/>
      <w:marRight w:val="0"/>
      <w:marTop w:val="0"/>
      <w:marBottom w:val="0"/>
      <w:divBdr>
        <w:top w:val="none" w:sz="0" w:space="0" w:color="auto"/>
        <w:left w:val="none" w:sz="0" w:space="0" w:color="auto"/>
        <w:bottom w:val="none" w:sz="0" w:space="0" w:color="auto"/>
        <w:right w:val="none" w:sz="0" w:space="0" w:color="auto"/>
      </w:divBdr>
    </w:div>
    <w:div w:id="1533960109">
      <w:bodyDiv w:val="1"/>
      <w:marLeft w:val="0"/>
      <w:marRight w:val="0"/>
      <w:marTop w:val="0"/>
      <w:marBottom w:val="0"/>
      <w:divBdr>
        <w:top w:val="none" w:sz="0" w:space="0" w:color="auto"/>
        <w:left w:val="none" w:sz="0" w:space="0" w:color="auto"/>
        <w:bottom w:val="none" w:sz="0" w:space="0" w:color="auto"/>
        <w:right w:val="none" w:sz="0" w:space="0" w:color="auto"/>
      </w:divBdr>
    </w:div>
    <w:div w:id="1534004182">
      <w:bodyDiv w:val="1"/>
      <w:marLeft w:val="0"/>
      <w:marRight w:val="0"/>
      <w:marTop w:val="0"/>
      <w:marBottom w:val="0"/>
      <w:divBdr>
        <w:top w:val="none" w:sz="0" w:space="0" w:color="auto"/>
        <w:left w:val="none" w:sz="0" w:space="0" w:color="auto"/>
        <w:bottom w:val="none" w:sz="0" w:space="0" w:color="auto"/>
        <w:right w:val="none" w:sz="0" w:space="0" w:color="auto"/>
      </w:divBdr>
    </w:div>
    <w:div w:id="1536843323">
      <w:bodyDiv w:val="1"/>
      <w:marLeft w:val="0"/>
      <w:marRight w:val="0"/>
      <w:marTop w:val="0"/>
      <w:marBottom w:val="0"/>
      <w:divBdr>
        <w:top w:val="none" w:sz="0" w:space="0" w:color="auto"/>
        <w:left w:val="none" w:sz="0" w:space="0" w:color="auto"/>
        <w:bottom w:val="none" w:sz="0" w:space="0" w:color="auto"/>
        <w:right w:val="none" w:sz="0" w:space="0" w:color="auto"/>
      </w:divBdr>
    </w:div>
    <w:div w:id="1538197321">
      <w:bodyDiv w:val="1"/>
      <w:marLeft w:val="0"/>
      <w:marRight w:val="0"/>
      <w:marTop w:val="0"/>
      <w:marBottom w:val="0"/>
      <w:divBdr>
        <w:top w:val="none" w:sz="0" w:space="0" w:color="auto"/>
        <w:left w:val="none" w:sz="0" w:space="0" w:color="auto"/>
        <w:bottom w:val="none" w:sz="0" w:space="0" w:color="auto"/>
        <w:right w:val="none" w:sz="0" w:space="0" w:color="auto"/>
      </w:divBdr>
    </w:div>
    <w:div w:id="1540128245">
      <w:bodyDiv w:val="1"/>
      <w:marLeft w:val="0"/>
      <w:marRight w:val="0"/>
      <w:marTop w:val="0"/>
      <w:marBottom w:val="0"/>
      <w:divBdr>
        <w:top w:val="none" w:sz="0" w:space="0" w:color="auto"/>
        <w:left w:val="none" w:sz="0" w:space="0" w:color="auto"/>
        <w:bottom w:val="none" w:sz="0" w:space="0" w:color="auto"/>
        <w:right w:val="none" w:sz="0" w:space="0" w:color="auto"/>
      </w:divBdr>
    </w:div>
    <w:div w:id="1543246945">
      <w:bodyDiv w:val="1"/>
      <w:marLeft w:val="0"/>
      <w:marRight w:val="0"/>
      <w:marTop w:val="0"/>
      <w:marBottom w:val="0"/>
      <w:divBdr>
        <w:top w:val="none" w:sz="0" w:space="0" w:color="auto"/>
        <w:left w:val="none" w:sz="0" w:space="0" w:color="auto"/>
        <w:bottom w:val="none" w:sz="0" w:space="0" w:color="auto"/>
        <w:right w:val="none" w:sz="0" w:space="0" w:color="auto"/>
      </w:divBdr>
    </w:div>
    <w:div w:id="1547915593">
      <w:bodyDiv w:val="1"/>
      <w:marLeft w:val="0"/>
      <w:marRight w:val="0"/>
      <w:marTop w:val="0"/>
      <w:marBottom w:val="0"/>
      <w:divBdr>
        <w:top w:val="none" w:sz="0" w:space="0" w:color="auto"/>
        <w:left w:val="none" w:sz="0" w:space="0" w:color="auto"/>
        <w:bottom w:val="none" w:sz="0" w:space="0" w:color="auto"/>
        <w:right w:val="none" w:sz="0" w:space="0" w:color="auto"/>
      </w:divBdr>
    </w:div>
    <w:div w:id="1549533690">
      <w:bodyDiv w:val="1"/>
      <w:marLeft w:val="0"/>
      <w:marRight w:val="0"/>
      <w:marTop w:val="0"/>
      <w:marBottom w:val="0"/>
      <w:divBdr>
        <w:top w:val="none" w:sz="0" w:space="0" w:color="auto"/>
        <w:left w:val="none" w:sz="0" w:space="0" w:color="auto"/>
        <w:bottom w:val="none" w:sz="0" w:space="0" w:color="auto"/>
        <w:right w:val="none" w:sz="0" w:space="0" w:color="auto"/>
      </w:divBdr>
    </w:div>
    <w:div w:id="1549758966">
      <w:bodyDiv w:val="1"/>
      <w:marLeft w:val="0"/>
      <w:marRight w:val="0"/>
      <w:marTop w:val="0"/>
      <w:marBottom w:val="0"/>
      <w:divBdr>
        <w:top w:val="none" w:sz="0" w:space="0" w:color="auto"/>
        <w:left w:val="none" w:sz="0" w:space="0" w:color="auto"/>
        <w:bottom w:val="none" w:sz="0" w:space="0" w:color="auto"/>
        <w:right w:val="none" w:sz="0" w:space="0" w:color="auto"/>
      </w:divBdr>
    </w:div>
    <w:div w:id="1554541857">
      <w:bodyDiv w:val="1"/>
      <w:marLeft w:val="0"/>
      <w:marRight w:val="0"/>
      <w:marTop w:val="0"/>
      <w:marBottom w:val="0"/>
      <w:divBdr>
        <w:top w:val="none" w:sz="0" w:space="0" w:color="auto"/>
        <w:left w:val="none" w:sz="0" w:space="0" w:color="auto"/>
        <w:bottom w:val="none" w:sz="0" w:space="0" w:color="auto"/>
        <w:right w:val="none" w:sz="0" w:space="0" w:color="auto"/>
      </w:divBdr>
    </w:div>
    <w:div w:id="1555776851">
      <w:bodyDiv w:val="1"/>
      <w:marLeft w:val="0"/>
      <w:marRight w:val="0"/>
      <w:marTop w:val="0"/>
      <w:marBottom w:val="0"/>
      <w:divBdr>
        <w:top w:val="none" w:sz="0" w:space="0" w:color="auto"/>
        <w:left w:val="none" w:sz="0" w:space="0" w:color="auto"/>
        <w:bottom w:val="none" w:sz="0" w:space="0" w:color="auto"/>
        <w:right w:val="none" w:sz="0" w:space="0" w:color="auto"/>
      </w:divBdr>
    </w:div>
    <w:div w:id="1559590631">
      <w:bodyDiv w:val="1"/>
      <w:marLeft w:val="0"/>
      <w:marRight w:val="0"/>
      <w:marTop w:val="0"/>
      <w:marBottom w:val="0"/>
      <w:divBdr>
        <w:top w:val="none" w:sz="0" w:space="0" w:color="auto"/>
        <w:left w:val="none" w:sz="0" w:space="0" w:color="auto"/>
        <w:bottom w:val="none" w:sz="0" w:space="0" w:color="auto"/>
        <w:right w:val="none" w:sz="0" w:space="0" w:color="auto"/>
      </w:divBdr>
    </w:div>
    <w:div w:id="1570536884">
      <w:bodyDiv w:val="1"/>
      <w:marLeft w:val="0"/>
      <w:marRight w:val="0"/>
      <w:marTop w:val="0"/>
      <w:marBottom w:val="0"/>
      <w:divBdr>
        <w:top w:val="none" w:sz="0" w:space="0" w:color="auto"/>
        <w:left w:val="none" w:sz="0" w:space="0" w:color="auto"/>
        <w:bottom w:val="none" w:sz="0" w:space="0" w:color="auto"/>
        <w:right w:val="none" w:sz="0" w:space="0" w:color="auto"/>
      </w:divBdr>
    </w:div>
    <w:div w:id="1581207996">
      <w:bodyDiv w:val="1"/>
      <w:marLeft w:val="0"/>
      <w:marRight w:val="0"/>
      <w:marTop w:val="0"/>
      <w:marBottom w:val="0"/>
      <w:divBdr>
        <w:top w:val="none" w:sz="0" w:space="0" w:color="auto"/>
        <w:left w:val="none" w:sz="0" w:space="0" w:color="auto"/>
        <w:bottom w:val="none" w:sz="0" w:space="0" w:color="auto"/>
        <w:right w:val="none" w:sz="0" w:space="0" w:color="auto"/>
      </w:divBdr>
    </w:div>
    <w:div w:id="1588342031">
      <w:bodyDiv w:val="1"/>
      <w:marLeft w:val="0"/>
      <w:marRight w:val="0"/>
      <w:marTop w:val="0"/>
      <w:marBottom w:val="0"/>
      <w:divBdr>
        <w:top w:val="none" w:sz="0" w:space="0" w:color="auto"/>
        <w:left w:val="none" w:sz="0" w:space="0" w:color="auto"/>
        <w:bottom w:val="none" w:sz="0" w:space="0" w:color="auto"/>
        <w:right w:val="none" w:sz="0" w:space="0" w:color="auto"/>
      </w:divBdr>
    </w:div>
    <w:div w:id="1589924573">
      <w:bodyDiv w:val="1"/>
      <w:marLeft w:val="0"/>
      <w:marRight w:val="0"/>
      <w:marTop w:val="0"/>
      <w:marBottom w:val="0"/>
      <w:divBdr>
        <w:top w:val="none" w:sz="0" w:space="0" w:color="auto"/>
        <w:left w:val="none" w:sz="0" w:space="0" w:color="auto"/>
        <w:bottom w:val="none" w:sz="0" w:space="0" w:color="auto"/>
        <w:right w:val="none" w:sz="0" w:space="0" w:color="auto"/>
      </w:divBdr>
    </w:div>
    <w:div w:id="1592859235">
      <w:bodyDiv w:val="1"/>
      <w:marLeft w:val="0"/>
      <w:marRight w:val="0"/>
      <w:marTop w:val="0"/>
      <w:marBottom w:val="0"/>
      <w:divBdr>
        <w:top w:val="none" w:sz="0" w:space="0" w:color="auto"/>
        <w:left w:val="none" w:sz="0" w:space="0" w:color="auto"/>
        <w:bottom w:val="none" w:sz="0" w:space="0" w:color="auto"/>
        <w:right w:val="none" w:sz="0" w:space="0" w:color="auto"/>
      </w:divBdr>
    </w:div>
    <w:div w:id="1594431649">
      <w:bodyDiv w:val="1"/>
      <w:marLeft w:val="0"/>
      <w:marRight w:val="0"/>
      <w:marTop w:val="0"/>
      <w:marBottom w:val="0"/>
      <w:divBdr>
        <w:top w:val="none" w:sz="0" w:space="0" w:color="auto"/>
        <w:left w:val="none" w:sz="0" w:space="0" w:color="auto"/>
        <w:bottom w:val="none" w:sz="0" w:space="0" w:color="auto"/>
        <w:right w:val="none" w:sz="0" w:space="0" w:color="auto"/>
      </w:divBdr>
    </w:div>
    <w:div w:id="1595164649">
      <w:bodyDiv w:val="1"/>
      <w:marLeft w:val="0"/>
      <w:marRight w:val="0"/>
      <w:marTop w:val="0"/>
      <w:marBottom w:val="0"/>
      <w:divBdr>
        <w:top w:val="none" w:sz="0" w:space="0" w:color="auto"/>
        <w:left w:val="none" w:sz="0" w:space="0" w:color="auto"/>
        <w:bottom w:val="none" w:sz="0" w:space="0" w:color="auto"/>
        <w:right w:val="none" w:sz="0" w:space="0" w:color="auto"/>
      </w:divBdr>
    </w:div>
    <w:div w:id="1606690323">
      <w:bodyDiv w:val="1"/>
      <w:marLeft w:val="0"/>
      <w:marRight w:val="0"/>
      <w:marTop w:val="0"/>
      <w:marBottom w:val="0"/>
      <w:divBdr>
        <w:top w:val="none" w:sz="0" w:space="0" w:color="auto"/>
        <w:left w:val="none" w:sz="0" w:space="0" w:color="auto"/>
        <w:bottom w:val="none" w:sz="0" w:space="0" w:color="auto"/>
        <w:right w:val="none" w:sz="0" w:space="0" w:color="auto"/>
      </w:divBdr>
    </w:div>
    <w:div w:id="1609042938">
      <w:bodyDiv w:val="1"/>
      <w:marLeft w:val="0"/>
      <w:marRight w:val="0"/>
      <w:marTop w:val="0"/>
      <w:marBottom w:val="0"/>
      <w:divBdr>
        <w:top w:val="none" w:sz="0" w:space="0" w:color="auto"/>
        <w:left w:val="none" w:sz="0" w:space="0" w:color="auto"/>
        <w:bottom w:val="none" w:sz="0" w:space="0" w:color="auto"/>
        <w:right w:val="none" w:sz="0" w:space="0" w:color="auto"/>
      </w:divBdr>
    </w:div>
    <w:div w:id="1613904807">
      <w:bodyDiv w:val="1"/>
      <w:marLeft w:val="0"/>
      <w:marRight w:val="0"/>
      <w:marTop w:val="0"/>
      <w:marBottom w:val="0"/>
      <w:divBdr>
        <w:top w:val="none" w:sz="0" w:space="0" w:color="auto"/>
        <w:left w:val="none" w:sz="0" w:space="0" w:color="auto"/>
        <w:bottom w:val="none" w:sz="0" w:space="0" w:color="auto"/>
        <w:right w:val="none" w:sz="0" w:space="0" w:color="auto"/>
      </w:divBdr>
    </w:div>
    <w:div w:id="1615676983">
      <w:bodyDiv w:val="1"/>
      <w:marLeft w:val="0"/>
      <w:marRight w:val="0"/>
      <w:marTop w:val="0"/>
      <w:marBottom w:val="0"/>
      <w:divBdr>
        <w:top w:val="none" w:sz="0" w:space="0" w:color="auto"/>
        <w:left w:val="none" w:sz="0" w:space="0" w:color="auto"/>
        <w:bottom w:val="none" w:sz="0" w:space="0" w:color="auto"/>
        <w:right w:val="none" w:sz="0" w:space="0" w:color="auto"/>
      </w:divBdr>
    </w:div>
    <w:div w:id="1627352221">
      <w:bodyDiv w:val="1"/>
      <w:marLeft w:val="0"/>
      <w:marRight w:val="0"/>
      <w:marTop w:val="0"/>
      <w:marBottom w:val="0"/>
      <w:divBdr>
        <w:top w:val="none" w:sz="0" w:space="0" w:color="auto"/>
        <w:left w:val="none" w:sz="0" w:space="0" w:color="auto"/>
        <w:bottom w:val="none" w:sz="0" w:space="0" w:color="auto"/>
        <w:right w:val="none" w:sz="0" w:space="0" w:color="auto"/>
      </w:divBdr>
    </w:div>
    <w:div w:id="1635679174">
      <w:bodyDiv w:val="1"/>
      <w:marLeft w:val="0"/>
      <w:marRight w:val="0"/>
      <w:marTop w:val="0"/>
      <w:marBottom w:val="0"/>
      <w:divBdr>
        <w:top w:val="none" w:sz="0" w:space="0" w:color="auto"/>
        <w:left w:val="none" w:sz="0" w:space="0" w:color="auto"/>
        <w:bottom w:val="none" w:sz="0" w:space="0" w:color="auto"/>
        <w:right w:val="none" w:sz="0" w:space="0" w:color="auto"/>
      </w:divBdr>
    </w:div>
    <w:div w:id="1637762137">
      <w:bodyDiv w:val="1"/>
      <w:marLeft w:val="0"/>
      <w:marRight w:val="0"/>
      <w:marTop w:val="0"/>
      <w:marBottom w:val="0"/>
      <w:divBdr>
        <w:top w:val="none" w:sz="0" w:space="0" w:color="auto"/>
        <w:left w:val="none" w:sz="0" w:space="0" w:color="auto"/>
        <w:bottom w:val="none" w:sz="0" w:space="0" w:color="auto"/>
        <w:right w:val="none" w:sz="0" w:space="0" w:color="auto"/>
      </w:divBdr>
    </w:div>
    <w:div w:id="1645160536">
      <w:bodyDiv w:val="1"/>
      <w:marLeft w:val="0"/>
      <w:marRight w:val="0"/>
      <w:marTop w:val="0"/>
      <w:marBottom w:val="0"/>
      <w:divBdr>
        <w:top w:val="none" w:sz="0" w:space="0" w:color="auto"/>
        <w:left w:val="none" w:sz="0" w:space="0" w:color="auto"/>
        <w:bottom w:val="none" w:sz="0" w:space="0" w:color="auto"/>
        <w:right w:val="none" w:sz="0" w:space="0" w:color="auto"/>
      </w:divBdr>
    </w:div>
    <w:div w:id="1645621670">
      <w:bodyDiv w:val="1"/>
      <w:marLeft w:val="0"/>
      <w:marRight w:val="0"/>
      <w:marTop w:val="0"/>
      <w:marBottom w:val="0"/>
      <w:divBdr>
        <w:top w:val="none" w:sz="0" w:space="0" w:color="auto"/>
        <w:left w:val="none" w:sz="0" w:space="0" w:color="auto"/>
        <w:bottom w:val="none" w:sz="0" w:space="0" w:color="auto"/>
        <w:right w:val="none" w:sz="0" w:space="0" w:color="auto"/>
      </w:divBdr>
    </w:div>
    <w:div w:id="1653483357">
      <w:bodyDiv w:val="1"/>
      <w:marLeft w:val="0"/>
      <w:marRight w:val="0"/>
      <w:marTop w:val="0"/>
      <w:marBottom w:val="0"/>
      <w:divBdr>
        <w:top w:val="none" w:sz="0" w:space="0" w:color="auto"/>
        <w:left w:val="none" w:sz="0" w:space="0" w:color="auto"/>
        <w:bottom w:val="none" w:sz="0" w:space="0" w:color="auto"/>
        <w:right w:val="none" w:sz="0" w:space="0" w:color="auto"/>
      </w:divBdr>
    </w:div>
    <w:div w:id="1663775596">
      <w:bodyDiv w:val="1"/>
      <w:marLeft w:val="0"/>
      <w:marRight w:val="0"/>
      <w:marTop w:val="0"/>
      <w:marBottom w:val="0"/>
      <w:divBdr>
        <w:top w:val="none" w:sz="0" w:space="0" w:color="auto"/>
        <w:left w:val="none" w:sz="0" w:space="0" w:color="auto"/>
        <w:bottom w:val="none" w:sz="0" w:space="0" w:color="auto"/>
        <w:right w:val="none" w:sz="0" w:space="0" w:color="auto"/>
      </w:divBdr>
    </w:div>
    <w:div w:id="1671760097">
      <w:bodyDiv w:val="1"/>
      <w:marLeft w:val="0"/>
      <w:marRight w:val="0"/>
      <w:marTop w:val="0"/>
      <w:marBottom w:val="0"/>
      <w:divBdr>
        <w:top w:val="none" w:sz="0" w:space="0" w:color="auto"/>
        <w:left w:val="none" w:sz="0" w:space="0" w:color="auto"/>
        <w:bottom w:val="none" w:sz="0" w:space="0" w:color="auto"/>
        <w:right w:val="none" w:sz="0" w:space="0" w:color="auto"/>
      </w:divBdr>
    </w:div>
    <w:div w:id="1676035981">
      <w:bodyDiv w:val="1"/>
      <w:marLeft w:val="0"/>
      <w:marRight w:val="0"/>
      <w:marTop w:val="0"/>
      <w:marBottom w:val="0"/>
      <w:divBdr>
        <w:top w:val="none" w:sz="0" w:space="0" w:color="auto"/>
        <w:left w:val="none" w:sz="0" w:space="0" w:color="auto"/>
        <w:bottom w:val="none" w:sz="0" w:space="0" w:color="auto"/>
        <w:right w:val="none" w:sz="0" w:space="0" w:color="auto"/>
      </w:divBdr>
    </w:div>
    <w:div w:id="1683434390">
      <w:bodyDiv w:val="1"/>
      <w:marLeft w:val="0"/>
      <w:marRight w:val="0"/>
      <w:marTop w:val="0"/>
      <w:marBottom w:val="0"/>
      <w:divBdr>
        <w:top w:val="none" w:sz="0" w:space="0" w:color="auto"/>
        <w:left w:val="none" w:sz="0" w:space="0" w:color="auto"/>
        <w:bottom w:val="none" w:sz="0" w:space="0" w:color="auto"/>
        <w:right w:val="none" w:sz="0" w:space="0" w:color="auto"/>
      </w:divBdr>
    </w:div>
    <w:div w:id="1684698066">
      <w:bodyDiv w:val="1"/>
      <w:marLeft w:val="0"/>
      <w:marRight w:val="0"/>
      <w:marTop w:val="0"/>
      <w:marBottom w:val="0"/>
      <w:divBdr>
        <w:top w:val="none" w:sz="0" w:space="0" w:color="auto"/>
        <w:left w:val="none" w:sz="0" w:space="0" w:color="auto"/>
        <w:bottom w:val="none" w:sz="0" w:space="0" w:color="auto"/>
        <w:right w:val="none" w:sz="0" w:space="0" w:color="auto"/>
      </w:divBdr>
    </w:div>
    <w:div w:id="1689482061">
      <w:bodyDiv w:val="1"/>
      <w:marLeft w:val="0"/>
      <w:marRight w:val="0"/>
      <w:marTop w:val="0"/>
      <w:marBottom w:val="0"/>
      <w:divBdr>
        <w:top w:val="none" w:sz="0" w:space="0" w:color="auto"/>
        <w:left w:val="none" w:sz="0" w:space="0" w:color="auto"/>
        <w:bottom w:val="none" w:sz="0" w:space="0" w:color="auto"/>
        <w:right w:val="none" w:sz="0" w:space="0" w:color="auto"/>
      </w:divBdr>
    </w:div>
    <w:div w:id="1692294512">
      <w:bodyDiv w:val="1"/>
      <w:marLeft w:val="0"/>
      <w:marRight w:val="0"/>
      <w:marTop w:val="0"/>
      <w:marBottom w:val="0"/>
      <w:divBdr>
        <w:top w:val="none" w:sz="0" w:space="0" w:color="auto"/>
        <w:left w:val="none" w:sz="0" w:space="0" w:color="auto"/>
        <w:bottom w:val="none" w:sz="0" w:space="0" w:color="auto"/>
        <w:right w:val="none" w:sz="0" w:space="0" w:color="auto"/>
      </w:divBdr>
    </w:div>
    <w:div w:id="1699240319">
      <w:bodyDiv w:val="1"/>
      <w:marLeft w:val="0"/>
      <w:marRight w:val="0"/>
      <w:marTop w:val="0"/>
      <w:marBottom w:val="0"/>
      <w:divBdr>
        <w:top w:val="none" w:sz="0" w:space="0" w:color="auto"/>
        <w:left w:val="none" w:sz="0" w:space="0" w:color="auto"/>
        <w:bottom w:val="none" w:sz="0" w:space="0" w:color="auto"/>
        <w:right w:val="none" w:sz="0" w:space="0" w:color="auto"/>
      </w:divBdr>
    </w:div>
    <w:div w:id="1701128447">
      <w:bodyDiv w:val="1"/>
      <w:marLeft w:val="0"/>
      <w:marRight w:val="0"/>
      <w:marTop w:val="0"/>
      <w:marBottom w:val="0"/>
      <w:divBdr>
        <w:top w:val="none" w:sz="0" w:space="0" w:color="auto"/>
        <w:left w:val="none" w:sz="0" w:space="0" w:color="auto"/>
        <w:bottom w:val="none" w:sz="0" w:space="0" w:color="auto"/>
        <w:right w:val="none" w:sz="0" w:space="0" w:color="auto"/>
      </w:divBdr>
    </w:div>
    <w:div w:id="1715084170">
      <w:bodyDiv w:val="1"/>
      <w:marLeft w:val="0"/>
      <w:marRight w:val="0"/>
      <w:marTop w:val="0"/>
      <w:marBottom w:val="0"/>
      <w:divBdr>
        <w:top w:val="none" w:sz="0" w:space="0" w:color="auto"/>
        <w:left w:val="none" w:sz="0" w:space="0" w:color="auto"/>
        <w:bottom w:val="none" w:sz="0" w:space="0" w:color="auto"/>
        <w:right w:val="none" w:sz="0" w:space="0" w:color="auto"/>
      </w:divBdr>
    </w:div>
    <w:div w:id="1718511130">
      <w:bodyDiv w:val="1"/>
      <w:marLeft w:val="0"/>
      <w:marRight w:val="0"/>
      <w:marTop w:val="0"/>
      <w:marBottom w:val="0"/>
      <w:divBdr>
        <w:top w:val="none" w:sz="0" w:space="0" w:color="auto"/>
        <w:left w:val="none" w:sz="0" w:space="0" w:color="auto"/>
        <w:bottom w:val="none" w:sz="0" w:space="0" w:color="auto"/>
        <w:right w:val="none" w:sz="0" w:space="0" w:color="auto"/>
      </w:divBdr>
    </w:div>
    <w:div w:id="1725249426">
      <w:bodyDiv w:val="1"/>
      <w:marLeft w:val="0"/>
      <w:marRight w:val="0"/>
      <w:marTop w:val="0"/>
      <w:marBottom w:val="0"/>
      <w:divBdr>
        <w:top w:val="none" w:sz="0" w:space="0" w:color="auto"/>
        <w:left w:val="none" w:sz="0" w:space="0" w:color="auto"/>
        <w:bottom w:val="none" w:sz="0" w:space="0" w:color="auto"/>
        <w:right w:val="none" w:sz="0" w:space="0" w:color="auto"/>
      </w:divBdr>
    </w:div>
    <w:div w:id="1728063611">
      <w:bodyDiv w:val="1"/>
      <w:marLeft w:val="0"/>
      <w:marRight w:val="0"/>
      <w:marTop w:val="0"/>
      <w:marBottom w:val="0"/>
      <w:divBdr>
        <w:top w:val="none" w:sz="0" w:space="0" w:color="auto"/>
        <w:left w:val="none" w:sz="0" w:space="0" w:color="auto"/>
        <w:bottom w:val="none" w:sz="0" w:space="0" w:color="auto"/>
        <w:right w:val="none" w:sz="0" w:space="0" w:color="auto"/>
      </w:divBdr>
    </w:div>
    <w:div w:id="1734623859">
      <w:bodyDiv w:val="1"/>
      <w:marLeft w:val="0"/>
      <w:marRight w:val="0"/>
      <w:marTop w:val="0"/>
      <w:marBottom w:val="0"/>
      <w:divBdr>
        <w:top w:val="none" w:sz="0" w:space="0" w:color="auto"/>
        <w:left w:val="none" w:sz="0" w:space="0" w:color="auto"/>
        <w:bottom w:val="none" w:sz="0" w:space="0" w:color="auto"/>
        <w:right w:val="none" w:sz="0" w:space="0" w:color="auto"/>
      </w:divBdr>
    </w:div>
    <w:div w:id="1735197477">
      <w:bodyDiv w:val="1"/>
      <w:marLeft w:val="0"/>
      <w:marRight w:val="0"/>
      <w:marTop w:val="0"/>
      <w:marBottom w:val="0"/>
      <w:divBdr>
        <w:top w:val="none" w:sz="0" w:space="0" w:color="auto"/>
        <w:left w:val="none" w:sz="0" w:space="0" w:color="auto"/>
        <w:bottom w:val="none" w:sz="0" w:space="0" w:color="auto"/>
        <w:right w:val="none" w:sz="0" w:space="0" w:color="auto"/>
      </w:divBdr>
    </w:div>
    <w:div w:id="1738671613">
      <w:bodyDiv w:val="1"/>
      <w:marLeft w:val="0"/>
      <w:marRight w:val="0"/>
      <w:marTop w:val="0"/>
      <w:marBottom w:val="0"/>
      <w:divBdr>
        <w:top w:val="none" w:sz="0" w:space="0" w:color="auto"/>
        <w:left w:val="none" w:sz="0" w:space="0" w:color="auto"/>
        <w:bottom w:val="none" w:sz="0" w:space="0" w:color="auto"/>
        <w:right w:val="none" w:sz="0" w:space="0" w:color="auto"/>
      </w:divBdr>
    </w:div>
    <w:div w:id="1740665676">
      <w:bodyDiv w:val="1"/>
      <w:marLeft w:val="0"/>
      <w:marRight w:val="0"/>
      <w:marTop w:val="0"/>
      <w:marBottom w:val="0"/>
      <w:divBdr>
        <w:top w:val="none" w:sz="0" w:space="0" w:color="auto"/>
        <w:left w:val="none" w:sz="0" w:space="0" w:color="auto"/>
        <w:bottom w:val="none" w:sz="0" w:space="0" w:color="auto"/>
        <w:right w:val="none" w:sz="0" w:space="0" w:color="auto"/>
      </w:divBdr>
    </w:div>
    <w:div w:id="1740981343">
      <w:bodyDiv w:val="1"/>
      <w:marLeft w:val="0"/>
      <w:marRight w:val="0"/>
      <w:marTop w:val="0"/>
      <w:marBottom w:val="0"/>
      <w:divBdr>
        <w:top w:val="none" w:sz="0" w:space="0" w:color="auto"/>
        <w:left w:val="none" w:sz="0" w:space="0" w:color="auto"/>
        <w:bottom w:val="none" w:sz="0" w:space="0" w:color="auto"/>
        <w:right w:val="none" w:sz="0" w:space="0" w:color="auto"/>
      </w:divBdr>
    </w:div>
    <w:div w:id="1742022915">
      <w:bodyDiv w:val="1"/>
      <w:marLeft w:val="0"/>
      <w:marRight w:val="0"/>
      <w:marTop w:val="0"/>
      <w:marBottom w:val="0"/>
      <w:divBdr>
        <w:top w:val="none" w:sz="0" w:space="0" w:color="auto"/>
        <w:left w:val="none" w:sz="0" w:space="0" w:color="auto"/>
        <w:bottom w:val="none" w:sz="0" w:space="0" w:color="auto"/>
        <w:right w:val="none" w:sz="0" w:space="0" w:color="auto"/>
      </w:divBdr>
    </w:div>
    <w:div w:id="1744982411">
      <w:bodyDiv w:val="1"/>
      <w:marLeft w:val="0"/>
      <w:marRight w:val="0"/>
      <w:marTop w:val="0"/>
      <w:marBottom w:val="0"/>
      <w:divBdr>
        <w:top w:val="none" w:sz="0" w:space="0" w:color="auto"/>
        <w:left w:val="none" w:sz="0" w:space="0" w:color="auto"/>
        <w:bottom w:val="none" w:sz="0" w:space="0" w:color="auto"/>
        <w:right w:val="none" w:sz="0" w:space="0" w:color="auto"/>
      </w:divBdr>
    </w:div>
    <w:div w:id="1746680312">
      <w:bodyDiv w:val="1"/>
      <w:marLeft w:val="0"/>
      <w:marRight w:val="0"/>
      <w:marTop w:val="0"/>
      <w:marBottom w:val="0"/>
      <w:divBdr>
        <w:top w:val="none" w:sz="0" w:space="0" w:color="auto"/>
        <w:left w:val="none" w:sz="0" w:space="0" w:color="auto"/>
        <w:bottom w:val="none" w:sz="0" w:space="0" w:color="auto"/>
        <w:right w:val="none" w:sz="0" w:space="0" w:color="auto"/>
      </w:divBdr>
    </w:div>
    <w:div w:id="1748846108">
      <w:bodyDiv w:val="1"/>
      <w:marLeft w:val="0"/>
      <w:marRight w:val="0"/>
      <w:marTop w:val="0"/>
      <w:marBottom w:val="0"/>
      <w:divBdr>
        <w:top w:val="none" w:sz="0" w:space="0" w:color="auto"/>
        <w:left w:val="none" w:sz="0" w:space="0" w:color="auto"/>
        <w:bottom w:val="none" w:sz="0" w:space="0" w:color="auto"/>
        <w:right w:val="none" w:sz="0" w:space="0" w:color="auto"/>
      </w:divBdr>
    </w:div>
    <w:div w:id="1755400373">
      <w:bodyDiv w:val="1"/>
      <w:marLeft w:val="0"/>
      <w:marRight w:val="0"/>
      <w:marTop w:val="0"/>
      <w:marBottom w:val="0"/>
      <w:divBdr>
        <w:top w:val="none" w:sz="0" w:space="0" w:color="auto"/>
        <w:left w:val="none" w:sz="0" w:space="0" w:color="auto"/>
        <w:bottom w:val="none" w:sz="0" w:space="0" w:color="auto"/>
        <w:right w:val="none" w:sz="0" w:space="0" w:color="auto"/>
      </w:divBdr>
    </w:div>
    <w:div w:id="1762532913">
      <w:bodyDiv w:val="1"/>
      <w:marLeft w:val="0"/>
      <w:marRight w:val="0"/>
      <w:marTop w:val="0"/>
      <w:marBottom w:val="0"/>
      <w:divBdr>
        <w:top w:val="none" w:sz="0" w:space="0" w:color="auto"/>
        <w:left w:val="none" w:sz="0" w:space="0" w:color="auto"/>
        <w:bottom w:val="none" w:sz="0" w:space="0" w:color="auto"/>
        <w:right w:val="none" w:sz="0" w:space="0" w:color="auto"/>
      </w:divBdr>
    </w:div>
    <w:div w:id="1766340245">
      <w:bodyDiv w:val="1"/>
      <w:marLeft w:val="0"/>
      <w:marRight w:val="0"/>
      <w:marTop w:val="0"/>
      <w:marBottom w:val="0"/>
      <w:divBdr>
        <w:top w:val="none" w:sz="0" w:space="0" w:color="auto"/>
        <w:left w:val="none" w:sz="0" w:space="0" w:color="auto"/>
        <w:bottom w:val="none" w:sz="0" w:space="0" w:color="auto"/>
        <w:right w:val="none" w:sz="0" w:space="0" w:color="auto"/>
      </w:divBdr>
    </w:div>
    <w:div w:id="1767652724">
      <w:bodyDiv w:val="1"/>
      <w:marLeft w:val="0"/>
      <w:marRight w:val="0"/>
      <w:marTop w:val="0"/>
      <w:marBottom w:val="0"/>
      <w:divBdr>
        <w:top w:val="none" w:sz="0" w:space="0" w:color="auto"/>
        <w:left w:val="none" w:sz="0" w:space="0" w:color="auto"/>
        <w:bottom w:val="none" w:sz="0" w:space="0" w:color="auto"/>
        <w:right w:val="none" w:sz="0" w:space="0" w:color="auto"/>
      </w:divBdr>
    </w:div>
    <w:div w:id="1773355465">
      <w:bodyDiv w:val="1"/>
      <w:marLeft w:val="0"/>
      <w:marRight w:val="0"/>
      <w:marTop w:val="0"/>
      <w:marBottom w:val="0"/>
      <w:divBdr>
        <w:top w:val="none" w:sz="0" w:space="0" w:color="auto"/>
        <w:left w:val="none" w:sz="0" w:space="0" w:color="auto"/>
        <w:bottom w:val="none" w:sz="0" w:space="0" w:color="auto"/>
        <w:right w:val="none" w:sz="0" w:space="0" w:color="auto"/>
      </w:divBdr>
    </w:div>
    <w:div w:id="1781146817">
      <w:bodyDiv w:val="1"/>
      <w:marLeft w:val="0"/>
      <w:marRight w:val="0"/>
      <w:marTop w:val="0"/>
      <w:marBottom w:val="0"/>
      <w:divBdr>
        <w:top w:val="none" w:sz="0" w:space="0" w:color="auto"/>
        <w:left w:val="none" w:sz="0" w:space="0" w:color="auto"/>
        <w:bottom w:val="none" w:sz="0" w:space="0" w:color="auto"/>
        <w:right w:val="none" w:sz="0" w:space="0" w:color="auto"/>
      </w:divBdr>
    </w:div>
    <w:div w:id="1788617721">
      <w:bodyDiv w:val="1"/>
      <w:marLeft w:val="0"/>
      <w:marRight w:val="0"/>
      <w:marTop w:val="0"/>
      <w:marBottom w:val="0"/>
      <w:divBdr>
        <w:top w:val="none" w:sz="0" w:space="0" w:color="auto"/>
        <w:left w:val="none" w:sz="0" w:space="0" w:color="auto"/>
        <w:bottom w:val="none" w:sz="0" w:space="0" w:color="auto"/>
        <w:right w:val="none" w:sz="0" w:space="0" w:color="auto"/>
      </w:divBdr>
    </w:div>
    <w:div w:id="1789087745">
      <w:bodyDiv w:val="1"/>
      <w:marLeft w:val="0"/>
      <w:marRight w:val="0"/>
      <w:marTop w:val="0"/>
      <w:marBottom w:val="0"/>
      <w:divBdr>
        <w:top w:val="none" w:sz="0" w:space="0" w:color="auto"/>
        <w:left w:val="none" w:sz="0" w:space="0" w:color="auto"/>
        <w:bottom w:val="none" w:sz="0" w:space="0" w:color="auto"/>
        <w:right w:val="none" w:sz="0" w:space="0" w:color="auto"/>
      </w:divBdr>
    </w:div>
    <w:div w:id="1791314561">
      <w:bodyDiv w:val="1"/>
      <w:marLeft w:val="0"/>
      <w:marRight w:val="0"/>
      <w:marTop w:val="0"/>
      <w:marBottom w:val="0"/>
      <w:divBdr>
        <w:top w:val="none" w:sz="0" w:space="0" w:color="auto"/>
        <w:left w:val="none" w:sz="0" w:space="0" w:color="auto"/>
        <w:bottom w:val="none" w:sz="0" w:space="0" w:color="auto"/>
        <w:right w:val="none" w:sz="0" w:space="0" w:color="auto"/>
      </w:divBdr>
    </w:div>
    <w:div w:id="1795632364">
      <w:bodyDiv w:val="1"/>
      <w:marLeft w:val="0"/>
      <w:marRight w:val="0"/>
      <w:marTop w:val="0"/>
      <w:marBottom w:val="0"/>
      <w:divBdr>
        <w:top w:val="none" w:sz="0" w:space="0" w:color="auto"/>
        <w:left w:val="none" w:sz="0" w:space="0" w:color="auto"/>
        <w:bottom w:val="none" w:sz="0" w:space="0" w:color="auto"/>
        <w:right w:val="none" w:sz="0" w:space="0" w:color="auto"/>
      </w:divBdr>
    </w:div>
    <w:div w:id="1800105173">
      <w:bodyDiv w:val="1"/>
      <w:marLeft w:val="0"/>
      <w:marRight w:val="0"/>
      <w:marTop w:val="0"/>
      <w:marBottom w:val="0"/>
      <w:divBdr>
        <w:top w:val="none" w:sz="0" w:space="0" w:color="auto"/>
        <w:left w:val="none" w:sz="0" w:space="0" w:color="auto"/>
        <w:bottom w:val="none" w:sz="0" w:space="0" w:color="auto"/>
        <w:right w:val="none" w:sz="0" w:space="0" w:color="auto"/>
      </w:divBdr>
    </w:div>
    <w:div w:id="1814517068">
      <w:bodyDiv w:val="1"/>
      <w:marLeft w:val="0"/>
      <w:marRight w:val="0"/>
      <w:marTop w:val="0"/>
      <w:marBottom w:val="0"/>
      <w:divBdr>
        <w:top w:val="none" w:sz="0" w:space="0" w:color="auto"/>
        <w:left w:val="none" w:sz="0" w:space="0" w:color="auto"/>
        <w:bottom w:val="none" w:sz="0" w:space="0" w:color="auto"/>
        <w:right w:val="none" w:sz="0" w:space="0" w:color="auto"/>
      </w:divBdr>
    </w:div>
    <w:div w:id="1815439717">
      <w:bodyDiv w:val="1"/>
      <w:marLeft w:val="0"/>
      <w:marRight w:val="0"/>
      <w:marTop w:val="0"/>
      <w:marBottom w:val="0"/>
      <w:divBdr>
        <w:top w:val="none" w:sz="0" w:space="0" w:color="auto"/>
        <w:left w:val="none" w:sz="0" w:space="0" w:color="auto"/>
        <w:bottom w:val="none" w:sz="0" w:space="0" w:color="auto"/>
        <w:right w:val="none" w:sz="0" w:space="0" w:color="auto"/>
      </w:divBdr>
    </w:div>
    <w:div w:id="1818454909">
      <w:bodyDiv w:val="1"/>
      <w:marLeft w:val="0"/>
      <w:marRight w:val="0"/>
      <w:marTop w:val="0"/>
      <w:marBottom w:val="0"/>
      <w:divBdr>
        <w:top w:val="none" w:sz="0" w:space="0" w:color="auto"/>
        <w:left w:val="none" w:sz="0" w:space="0" w:color="auto"/>
        <w:bottom w:val="none" w:sz="0" w:space="0" w:color="auto"/>
        <w:right w:val="none" w:sz="0" w:space="0" w:color="auto"/>
      </w:divBdr>
    </w:div>
    <w:div w:id="1819683175">
      <w:bodyDiv w:val="1"/>
      <w:marLeft w:val="0"/>
      <w:marRight w:val="0"/>
      <w:marTop w:val="0"/>
      <w:marBottom w:val="0"/>
      <w:divBdr>
        <w:top w:val="none" w:sz="0" w:space="0" w:color="auto"/>
        <w:left w:val="none" w:sz="0" w:space="0" w:color="auto"/>
        <w:bottom w:val="none" w:sz="0" w:space="0" w:color="auto"/>
        <w:right w:val="none" w:sz="0" w:space="0" w:color="auto"/>
      </w:divBdr>
    </w:div>
    <w:div w:id="1825663902">
      <w:bodyDiv w:val="1"/>
      <w:marLeft w:val="0"/>
      <w:marRight w:val="0"/>
      <w:marTop w:val="0"/>
      <w:marBottom w:val="0"/>
      <w:divBdr>
        <w:top w:val="none" w:sz="0" w:space="0" w:color="auto"/>
        <w:left w:val="none" w:sz="0" w:space="0" w:color="auto"/>
        <w:bottom w:val="none" w:sz="0" w:space="0" w:color="auto"/>
        <w:right w:val="none" w:sz="0" w:space="0" w:color="auto"/>
      </w:divBdr>
    </w:div>
    <w:div w:id="1826239182">
      <w:bodyDiv w:val="1"/>
      <w:marLeft w:val="0"/>
      <w:marRight w:val="0"/>
      <w:marTop w:val="0"/>
      <w:marBottom w:val="0"/>
      <w:divBdr>
        <w:top w:val="none" w:sz="0" w:space="0" w:color="auto"/>
        <w:left w:val="none" w:sz="0" w:space="0" w:color="auto"/>
        <w:bottom w:val="none" w:sz="0" w:space="0" w:color="auto"/>
        <w:right w:val="none" w:sz="0" w:space="0" w:color="auto"/>
      </w:divBdr>
    </w:div>
    <w:div w:id="1828476468">
      <w:bodyDiv w:val="1"/>
      <w:marLeft w:val="0"/>
      <w:marRight w:val="0"/>
      <w:marTop w:val="0"/>
      <w:marBottom w:val="0"/>
      <w:divBdr>
        <w:top w:val="none" w:sz="0" w:space="0" w:color="auto"/>
        <w:left w:val="none" w:sz="0" w:space="0" w:color="auto"/>
        <w:bottom w:val="none" w:sz="0" w:space="0" w:color="auto"/>
        <w:right w:val="none" w:sz="0" w:space="0" w:color="auto"/>
      </w:divBdr>
    </w:div>
    <w:div w:id="1845632670">
      <w:bodyDiv w:val="1"/>
      <w:marLeft w:val="0"/>
      <w:marRight w:val="0"/>
      <w:marTop w:val="0"/>
      <w:marBottom w:val="0"/>
      <w:divBdr>
        <w:top w:val="none" w:sz="0" w:space="0" w:color="auto"/>
        <w:left w:val="none" w:sz="0" w:space="0" w:color="auto"/>
        <w:bottom w:val="none" w:sz="0" w:space="0" w:color="auto"/>
        <w:right w:val="none" w:sz="0" w:space="0" w:color="auto"/>
      </w:divBdr>
    </w:div>
    <w:div w:id="1850292050">
      <w:bodyDiv w:val="1"/>
      <w:marLeft w:val="0"/>
      <w:marRight w:val="0"/>
      <w:marTop w:val="0"/>
      <w:marBottom w:val="0"/>
      <w:divBdr>
        <w:top w:val="none" w:sz="0" w:space="0" w:color="auto"/>
        <w:left w:val="none" w:sz="0" w:space="0" w:color="auto"/>
        <w:bottom w:val="none" w:sz="0" w:space="0" w:color="auto"/>
        <w:right w:val="none" w:sz="0" w:space="0" w:color="auto"/>
      </w:divBdr>
    </w:div>
    <w:div w:id="1850413954">
      <w:bodyDiv w:val="1"/>
      <w:marLeft w:val="0"/>
      <w:marRight w:val="0"/>
      <w:marTop w:val="0"/>
      <w:marBottom w:val="0"/>
      <w:divBdr>
        <w:top w:val="none" w:sz="0" w:space="0" w:color="auto"/>
        <w:left w:val="none" w:sz="0" w:space="0" w:color="auto"/>
        <w:bottom w:val="none" w:sz="0" w:space="0" w:color="auto"/>
        <w:right w:val="none" w:sz="0" w:space="0" w:color="auto"/>
      </w:divBdr>
    </w:div>
    <w:div w:id="1885673663">
      <w:bodyDiv w:val="1"/>
      <w:marLeft w:val="0"/>
      <w:marRight w:val="0"/>
      <w:marTop w:val="0"/>
      <w:marBottom w:val="0"/>
      <w:divBdr>
        <w:top w:val="none" w:sz="0" w:space="0" w:color="auto"/>
        <w:left w:val="none" w:sz="0" w:space="0" w:color="auto"/>
        <w:bottom w:val="none" w:sz="0" w:space="0" w:color="auto"/>
        <w:right w:val="none" w:sz="0" w:space="0" w:color="auto"/>
      </w:divBdr>
    </w:div>
    <w:div w:id="1889876549">
      <w:bodyDiv w:val="1"/>
      <w:marLeft w:val="0"/>
      <w:marRight w:val="0"/>
      <w:marTop w:val="0"/>
      <w:marBottom w:val="0"/>
      <w:divBdr>
        <w:top w:val="none" w:sz="0" w:space="0" w:color="auto"/>
        <w:left w:val="none" w:sz="0" w:space="0" w:color="auto"/>
        <w:bottom w:val="none" w:sz="0" w:space="0" w:color="auto"/>
        <w:right w:val="none" w:sz="0" w:space="0" w:color="auto"/>
      </w:divBdr>
    </w:div>
    <w:div w:id="1895578529">
      <w:bodyDiv w:val="1"/>
      <w:marLeft w:val="0"/>
      <w:marRight w:val="0"/>
      <w:marTop w:val="0"/>
      <w:marBottom w:val="0"/>
      <w:divBdr>
        <w:top w:val="none" w:sz="0" w:space="0" w:color="auto"/>
        <w:left w:val="none" w:sz="0" w:space="0" w:color="auto"/>
        <w:bottom w:val="none" w:sz="0" w:space="0" w:color="auto"/>
        <w:right w:val="none" w:sz="0" w:space="0" w:color="auto"/>
      </w:divBdr>
    </w:div>
    <w:div w:id="1896694200">
      <w:bodyDiv w:val="1"/>
      <w:marLeft w:val="0"/>
      <w:marRight w:val="0"/>
      <w:marTop w:val="0"/>
      <w:marBottom w:val="0"/>
      <w:divBdr>
        <w:top w:val="none" w:sz="0" w:space="0" w:color="auto"/>
        <w:left w:val="none" w:sz="0" w:space="0" w:color="auto"/>
        <w:bottom w:val="none" w:sz="0" w:space="0" w:color="auto"/>
        <w:right w:val="none" w:sz="0" w:space="0" w:color="auto"/>
      </w:divBdr>
    </w:div>
    <w:div w:id="1918317726">
      <w:bodyDiv w:val="1"/>
      <w:marLeft w:val="0"/>
      <w:marRight w:val="0"/>
      <w:marTop w:val="0"/>
      <w:marBottom w:val="0"/>
      <w:divBdr>
        <w:top w:val="none" w:sz="0" w:space="0" w:color="auto"/>
        <w:left w:val="none" w:sz="0" w:space="0" w:color="auto"/>
        <w:bottom w:val="none" w:sz="0" w:space="0" w:color="auto"/>
        <w:right w:val="none" w:sz="0" w:space="0" w:color="auto"/>
      </w:divBdr>
    </w:div>
    <w:div w:id="1926066939">
      <w:bodyDiv w:val="1"/>
      <w:marLeft w:val="0"/>
      <w:marRight w:val="0"/>
      <w:marTop w:val="0"/>
      <w:marBottom w:val="0"/>
      <w:divBdr>
        <w:top w:val="none" w:sz="0" w:space="0" w:color="auto"/>
        <w:left w:val="none" w:sz="0" w:space="0" w:color="auto"/>
        <w:bottom w:val="none" w:sz="0" w:space="0" w:color="auto"/>
        <w:right w:val="none" w:sz="0" w:space="0" w:color="auto"/>
      </w:divBdr>
    </w:div>
    <w:div w:id="1926067797">
      <w:bodyDiv w:val="1"/>
      <w:marLeft w:val="0"/>
      <w:marRight w:val="0"/>
      <w:marTop w:val="0"/>
      <w:marBottom w:val="0"/>
      <w:divBdr>
        <w:top w:val="none" w:sz="0" w:space="0" w:color="auto"/>
        <w:left w:val="none" w:sz="0" w:space="0" w:color="auto"/>
        <w:bottom w:val="none" w:sz="0" w:space="0" w:color="auto"/>
        <w:right w:val="none" w:sz="0" w:space="0" w:color="auto"/>
      </w:divBdr>
    </w:div>
    <w:div w:id="1931356539">
      <w:bodyDiv w:val="1"/>
      <w:marLeft w:val="0"/>
      <w:marRight w:val="0"/>
      <w:marTop w:val="0"/>
      <w:marBottom w:val="0"/>
      <w:divBdr>
        <w:top w:val="none" w:sz="0" w:space="0" w:color="auto"/>
        <w:left w:val="none" w:sz="0" w:space="0" w:color="auto"/>
        <w:bottom w:val="none" w:sz="0" w:space="0" w:color="auto"/>
        <w:right w:val="none" w:sz="0" w:space="0" w:color="auto"/>
      </w:divBdr>
    </w:div>
    <w:div w:id="1933776263">
      <w:bodyDiv w:val="1"/>
      <w:marLeft w:val="0"/>
      <w:marRight w:val="0"/>
      <w:marTop w:val="0"/>
      <w:marBottom w:val="0"/>
      <w:divBdr>
        <w:top w:val="none" w:sz="0" w:space="0" w:color="auto"/>
        <w:left w:val="none" w:sz="0" w:space="0" w:color="auto"/>
        <w:bottom w:val="none" w:sz="0" w:space="0" w:color="auto"/>
        <w:right w:val="none" w:sz="0" w:space="0" w:color="auto"/>
      </w:divBdr>
    </w:div>
    <w:div w:id="1934706132">
      <w:bodyDiv w:val="1"/>
      <w:marLeft w:val="0"/>
      <w:marRight w:val="0"/>
      <w:marTop w:val="0"/>
      <w:marBottom w:val="0"/>
      <w:divBdr>
        <w:top w:val="none" w:sz="0" w:space="0" w:color="auto"/>
        <w:left w:val="none" w:sz="0" w:space="0" w:color="auto"/>
        <w:bottom w:val="none" w:sz="0" w:space="0" w:color="auto"/>
        <w:right w:val="none" w:sz="0" w:space="0" w:color="auto"/>
      </w:divBdr>
    </w:div>
    <w:div w:id="1941794437">
      <w:bodyDiv w:val="1"/>
      <w:marLeft w:val="0"/>
      <w:marRight w:val="0"/>
      <w:marTop w:val="0"/>
      <w:marBottom w:val="0"/>
      <w:divBdr>
        <w:top w:val="none" w:sz="0" w:space="0" w:color="auto"/>
        <w:left w:val="none" w:sz="0" w:space="0" w:color="auto"/>
        <w:bottom w:val="none" w:sz="0" w:space="0" w:color="auto"/>
        <w:right w:val="none" w:sz="0" w:space="0" w:color="auto"/>
      </w:divBdr>
    </w:div>
    <w:div w:id="1952546497">
      <w:bodyDiv w:val="1"/>
      <w:marLeft w:val="0"/>
      <w:marRight w:val="0"/>
      <w:marTop w:val="0"/>
      <w:marBottom w:val="0"/>
      <w:divBdr>
        <w:top w:val="none" w:sz="0" w:space="0" w:color="auto"/>
        <w:left w:val="none" w:sz="0" w:space="0" w:color="auto"/>
        <w:bottom w:val="none" w:sz="0" w:space="0" w:color="auto"/>
        <w:right w:val="none" w:sz="0" w:space="0" w:color="auto"/>
      </w:divBdr>
    </w:div>
    <w:div w:id="1955166713">
      <w:bodyDiv w:val="1"/>
      <w:marLeft w:val="0"/>
      <w:marRight w:val="0"/>
      <w:marTop w:val="0"/>
      <w:marBottom w:val="0"/>
      <w:divBdr>
        <w:top w:val="none" w:sz="0" w:space="0" w:color="auto"/>
        <w:left w:val="none" w:sz="0" w:space="0" w:color="auto"/>
        <w:bottom w:val="none" w:sz="0" w:space="0" w:color="auto"/>
        <w:right w:val="none" w:sz="0" w:space="0" w:color="auto"/>
      </w:divBdr>
    </w:div>
    <w:div w:id="1961180630">
      <w:bodyDiv w:val="1"/>
      <w:marLeft w:val="0"/>
      <w:marRight w:val="0"/>
      <w:marTop w:val="0"/>
      <w:marBottom w:val="0"/>
      <w:divBdr>
        <w:top w:val="none" w:sz="0" w:space="0" w:color="auto"/>
        <w:left w:val="none" w:sz="0" w:space="0" w:color="auto"/>
        <w:bottom w:val="none" w:sz="0" w:space="0" w:color="auto"/>
        <w:right w:val="none" w:sz="0" w:space="0" w:color="auto"/>
      </w:divBdr>
    </w:div>
    <w:div w:id="1962611481">
      <w:bodyDiv w:val="1"/>
      <w:marLeft w:val="0"/>
      <w:marRight w:val="0"/>
      <w:marTop w:val="0"/>
      <w:marBottom w:val="0"/>
      <w:divBdr>
        <w:top w:val="none" w:sz="0" w:space="0" w:color="auto"/>
        <w:left w:val="none" w:sz="0" w:space="0" w:color="auto"/>
        <w:bottom w:val="none" w:sz="0" w:space="0" w:color="auto"/>
        <w:right w:val="none" w:sz="0" w:space="0" w:color="auto"/>
      </w:divBdr>
    </w:div>
    <w:div w:id="1963657002">
      <w:bodyDiv w:val="1"/>
      <w:marLeft w:val="0"/>
      <w:marRight w:val="0"/>
      <w:marTop w:val="0"/>
      <w:marBottom w:val="0"/>
      <w:divBdr>
        <w:top w:val="none" w:sz="0" w:space="0" w:color="auto"/>
        <w:left w:val="none" w:sz="0" w:space="0" w:color="auto"/>
        <w:bottom w:val="none" w:sz="0" w:space="0" w:color="auto"/>
        <w:right w:val="none" w:sz="0" w:space="0" w:color="auto"/>
      </w:divBdr>
    </w:div>
    <w:div w:id="1964459212">
      <w:bodyDiv w:val="1"/>
      <w:marLeft w:val="0"/>
      <w:marRight w:val="0"/>
      <w:marTop w:val="0"/>
      <w:marBottom w:val="0"/>
      <w:divBdr>
        <w:top w:val="none" w:sz="0" w:space="0" w:color="auto"/>
        <w:left w:val="none" w:sz="0" w:space="0" w:color="auto"/>
        <w:bottom w:val="none" w:sz="0" w:space="0" w:color="auto"/>
        <w:right w:val="none" w:sz="0" w:space="0" w:color="auto"/>
      </w:divBdr>
    </w:div>
    <w:div w:id="1965043093">
      <w:bodyDiv w:val="1"/>
      <w:marLeft w:val="0"/>
      <w:marRight w:val="0"/>
      <w:marTop w:val="0"/>
      <w:marBottom w:val="0"/>
      <w:divBdr>
        <w:top w:val="none" w:sz="0" w:space="0" w:color="auto"/>
        <w:left w:val="none" w:sz="0" w:space="0" w:color="auto"/>
        <w:bottom w:val="none" w:sz="0" w:space="0" w:color="auto"/>
        <w:right w:val="none" w:sz="0" w:space="0" w:color="auto"/>
      </w:divBdr>
    </w:div>
    <w:div w:id="1965622903">
      <w:bodyDiv w:val="1"/>
      <w:marLeft w:val="0"/>
      <w:marRight w:val="0"/>
      <w:marTop w:val="0"/>
      <w:marBottom w:val="0"/>
      <w:divBdr>
        <w:top w:val="none" w:sz="0" w:space="0" w:color="auto"/>
        <w:left w:val="none" w:sz="0" w:space="0" w:color="auto"/>
        <w:bottom w:val="none" w:sz="0" w:space="0" w:color="auto"/>
        <w:right w:val="none" w:sz="0" w:space="0" w:color="auto"/>
      </w:divBdr>
    </w:div>
    <w:div w:id="1973898193">
      <w:bodyDiv w:val="1"/>
      <w:marLeft w:val="0"/>
      <w:marRight w:val="0"/>
      <w:marTop w:val="0"/>
      <w:marBottom w:val="0"/>
      <w:divBdr>
        <w:top w:val="none" w:sz="0" w:space="0" w:color="auto"/>
        <w:left w:val="none" w:sz="0" w:space="0" w:color="auto"/>
        <w:bottom w:val="none" w:sz="0" w:space="0" w:color="auto"/>
        <w:right w:val="none" w:sz="0" w:space="0" w:color="auto"/>
      </w:divBdr>
    </w:div>
    <w:div w:id="1974435759">
      <w:bodyDiv w:val="1"/>
      <w:marLeft w:val="0"/>
      <w:marRight w:val="0"/>
      <w:marTop w:val="0"/>
      <w:marBottom w:val="0"/>
      <w:divBdr>
        <w:top w:val="none" w:sz="0" w:space="0" w:color="auto"/>
        <w:left w:val="none" w:sz="0" w:space="0" w:color="auto"/>
        <w:bottom w:val="none" w:sz="0" w:space="0" w:color="auto"/>
        <w:right w:val="none" w:sz="0" w:space="0" w:color="auto"/>
      </w:divBdr>
    </w:div>
    <w:div w:id="1974747314">
      <w:bodyDiv w:val="1"/>
      <w:marLeft w:val="0"/>
      <w:marRight w:val="0"/>
      <w:marTop w:val="0"/>
      <w:marBottom w:val="0"/>
      <w:divBdr>
        <w:top w:val="none" w:sz="0" w:space="0" w:color="auto"/>
        <w:left w:val="none" w:sz="0" w:space="0" w:color="auto"/>
        <w:bottom w:val="none" w:sz="0" w:space="0" w:color="auto"/>
        <w:right w:val="none" w:sz="0" w:space="0" w:color="auto"/>
      </w:divBdr>
    </w:div>
    <w:div w:id="1979651053">
      <w:bodyDiv w:val="1"/>
      <w:marLeft w:val="0"/>
      <w:marRight w:val="0"/>
      <w:marTop w:val="0"/>
      <w:marBottom w:val="0"/>
      <w:divBdr>
        <w:top w:val="none" w:sz="0" w:space="0" w:color="auto"/>
        <w:left w:val="none" w:sz="0" w:space="0" w:color="auto"/>
        <w:bottom w:val="none" w:sz="0" w:space="0" w:color="auto"/>
        <w:right w:val="none" w:sz="0" w:space="0" w:color="auto"/>
      </w:divBdr>
    </w:div>
    <w:div w:id="1979993638">
      <w:bodyDiv w:val="1"/>
      <w:marLeft w:val="0"/>
      <w:marRight w:val="0"/>
      <w:marTop w:val="0"/>
      <w:marBottom w:val="0"/>
      <w:divBdr>
        <w:top w:val="none" w:sz="0" w:space="0" w:color="auto"/>
        <w:left w:val="none" w:sz="0" w:space="0" w:color="auto"/>
        <w:bottom w:val="none" w:sz="0" w:space="0" w:color="auto"/>
        <w:right w:val="none" w:sz="0" w:space="0" w:color="auto"/>
      </w:divBdr>
    </w:div>
    <w:div w:id="1981835924">
      <w:bodyDiv w:val="1"/>
      <w:marLeft w:val="0"/>
      <w:marRight w:val="0"/>
      <w:marTop w:val="0"/>
      <w:marBottom w:val="0"/>
      <w:divBdr>
        <w:top w:val="none" w:sz="0" w:space="0" w:color="auto"/>
        <w:left w:val="none" w:sz="0" w:space="0" w:color="auto"/>
        <w:bottom w:val="none" w:sz="0" w:space="0" w:color="auto"/>
        <w:right w:val="none" w:sz="0" w:space="0" w:color="auto"/>
      </w:divBdr>
    </w:div>
    <w:div w:id="1986006815">
      <w:bodyDiv w:val="1"/>
      <w:marLeft w:val="0"/>
      <w:marRight w:val="0"/>
      <w:marTop w:val="0"/>
      <w:marBottom w:val="0"/>
      <w:divBdr>
        <w:top w:val="none" w:sz="0" w:space="0" w:color="auto"/>
        <w:left w:val="none" w:sz="0" w:space="0" w:color="auto"/>
        <w:bottom w:val="none" w:sz="0" w:space="0" w:color="auto"/>
        <w:right w:val="none" w:sz="0" w:space="0" w:color="auto"/>
      </w:divBdr>
    </w:div>
    <w:div w:id="1988238245">
      <w:bodyDiv w:val="1"/>
      <w:marLeft w:val="0"/>
      <w:marRight w:val="0"/>
      <w:marTop w:val="0"/>
      <w:marBottom w:val="0"/>
      <w:divBdr>
        <w:top w:val="none" w:sz="0" w:space="0" w:color="auto"/>
        <w:left w:val="none" w:sz="0" w:space="0" w:color="auto"/>
        <w:bottom w:val="none" w:sz="0" w:space="0" w:color="auto"/>
        <w:right w:val="none" w:sz="0" w:space="0" w:color="auto"/>
      </w:divBdr>
    </w:div>
    <w:div w:id="1992054228">
      <w:bodyDiv w:val="1"/>
      <w:marLeft w:val="0"/>
      <w:marRight w:val="0"/>
      <w:marTop w:val="0"/>
      <w:marBottom w:val="0"/>
      <w:divBdr>
        <w:top w:val="none" w:sz="0" w:space="0" w:color="auto"/>
        <w:left w:val="none" w:sz="0" w:space="0" w:color="auto"/>
        <w:bottom w:val="none" w:sz="0" w:space="0" w:color="auto"/>
        <w:right w:val="none" w:sz="0" w:space="0" w:color="auto"/>
      </w:divBdr>
    </w:div>
    <w:div w:id="1992560511">
      <w:bodyDiv w:val="1"/>
      <w:marLeft w:val="0"/>
      <w:marRight w:val="0"/>
      <w:marTop w:val="0"/>
      <w:marBottom w:val="0"/>
      <w:divBdr>
        <w:top w:val="none" w:sz="0" w:space="0" w:color="auto"/>
        <w:left w:val="none" w:sz="0" w:space="0" w:color="auto"/>
        <w:bottom w:val="none" w:sz="0" w:space="0" w:color="auto"/>
        <w:right w:val="none" w:sz="0" w:space="0" w:color="auto"/>
      </w:divBdr>
    </w:div>
    <w:div w:id="1997223062">
      <w:bodyDiv w:val="1"/>
      <w:marLeft w:val="0"/>
      <w:marRight w:val="0"/>
      <w:marTop w:val="0"/>
      <w:marBottom w:val="0"/>
      <w:divBdr>
        <w:top w:val="none" w:sz="0" w:space="0" w:color="auto"/>
        <w:left w:val="none" w:sz="0" w:space="0" w:color="auto"/>
        <w:bottom w:val="none" w:sz="0" w:space="0" w:color="auto"/>
        <w:right w:val="none" w:sz="0" w:space="0" w:color="auto"/>
      </w:divBdr>
    </w:div>
    <w:div w:id="1998999396">
      <w:bodyDiv w:val="1"/>
      <w:marLeft w:val="0"/>
      <w:marRight w:val="0"/>
      <w:marTop w:val="0"/>
      <w:marBottom w:val="0"/>
      <w:divBdr>
        <w:top w:val="none" w:sz="0" w:space="0" w:color="auto"/>
        <w:left w:val="none" w:sz="0" w:space="0" w:color="auto"/>
        <w:bottom w:val="none" w:sz="0" w:space="0" w:color="auto"/>
        <w:right w:val="none" w:sz="0" w:space="0" w:color="auto"/>
      </w:divBdr>
    </w:div>
    <w:div w:id="1999339323">
      <w:bodyDiv w:val="1"/>
      <w:marLeft w:val="0"/>
      <w:marRight w:val="0"/>
      <w:marTop w:val="0"/>
      <w:marBottom w:val="0"/>
      <w:divBdr>
        <w:top w:val="none" w:sz="0" w:space="0" w:color="auto"/>
        <w:left w:val="none" w:sz="0" w:space="0" w:color="auto"/>
        <w:bottom w:val="none" w:sz="0" w:space="0" w:color="auto"/>
        <w:right w:val="none" w:sz="0" w:space="0" w:color="auto"/>
      </w:divBdr>
    </w:div>
    <w:div w:id="2000111301">
      <w:bodyDiv w:val="1"/>
      <w:marLeft w:val="0"/>
      <w:marRight w:val="0"/>
      <w:marTop w:val="0"/>
      <w:marBottom w:val="0"/>
      <w:divBdr>
        <w:top w:val="none" w:sz="0" w:space="0" w:color="auto"/>
        <w:left w:val="none" w:sz="0" w:space="0" w:color="auto"/>
        <w:bottom w:val="none" w:sz="0" w:space="0" w:color="auto"/>
        <w:right w:val="none" w:sz="0" w:space="0" w:color="auto"/>
      </w:divBdr>
    </w:div>
    <w:div w:id="2013944397">
      <w:bodyDiv w:val="1"/>
      <w:marLeft w:val="0"/>
      <w:marRight w:val="0"/>
      <w:marTop w:val="0"/>
      <w:marBottom w:val="0"/>
      <w:divBdr>
        <w:top w:val="none" w:sz="0" w:space="0" w:color="auto"/>
        <w:left w:val="none" w:sz="0" w:space="0" w:color="auto"/>
        <w:bottom w:val="none" w:sz="0" w:space="0" w:color="auto"/>
        <w:right w:val="none" w:sz="0" w:space="0" w:color="auto"/>
      </w:divBdr>
    </w:div>
    <w:div w:id="2018267838">
      <w:bodyDiv w:val="1"/>
      <w:marLeft w:val="0"/>
      <w:marRight w:val="0"/>
      <w:marTop w:val="0"/>
      <w:marBottom w:val="0"/>
      <w:divBdr>
        <w:top w:val="none" w:sz="0" w:space="0" w:color="auto"/>
        <w:left w:val="none" w:sz="0" w:space="0" w:color="auto"/>
        <w:bottom w:val="none" w:sz="0" w:space="0" w:color="auto"/>
        <w:right w:val="none" w:sz="0" w:space="0" w:color="auto"/>
      </w:divBdr>
    </w:div>
    <w:div w:id="2018921671">
      <w:bodyDiv w:val="1"/>
      <w:marLeft w:val="0"/>
      <w:marRight w:val="0"/>
      <w:marTop w:val="0"/>
      <w:marBottom w:val="0"/>
      <w:divBdr>
        <w:top w:val="none" w:sz="0" w:space="0" w:color="auto"/>
        <w:left w:val="none" w:sz="0" w:space="0" w:color="auto"/>
        <w:bottom w:val="none" w:sz="0" w:space="0" w:color="auto"/>
        <w:right w:val="none" w:sz="0" w:space="0" w:color="auto"/>
      </w:divBdr>
    </w:div>
    <w:div w:id="2019231228">
      <w:bodyDiv w:val="1"/>
      <w:marLeft w:val="0"/>
      <w:marRight w:val="0"/>
      <w:marTop w:val="0"/>
      <w:marBottom w:val="0"/>
      <w:divBdr>
        <w:top w:val="none" w:sz="0" w:space="0" w:color="auto"/>
        <w:left w:val="none" w:sz="0" w:space="0" w:color="auto"/>
        <w:bottom w:val="none" w:sz="0" w:space="0" w:color="auto"/>
        <w:right w:val="none" w:sz="0" w:space="0" w:color="auto"/>
      </w:divBdr>
    </w:div>
    <w:div w:id="2025083091">
      <w:bodyDiv w:val="1"/>
      <w:marLeft w:val="0"/>
      <w:marRight w:val="0"/>
      <w:marTop w:val="0"/>
      <w:marBottom w:val="0"/>
      <w:divBdr>
        <w:top w:val="none" w:sz="0" w:space="0" w:color="auto"/>
        <w:left w:val="none" w:sz="0" w:space="0" w:color="auto"/>
        <w:bottom w:val="none" w:sz="0" w:space="0" w:color="auto"/>
        <w:right w:val="none" w:sz="0" w:space="0" w:color="auto"/>
      </w:divBdr>
    </w:div>
    <w:div w:id="2025785735">
      <w:bodyDiv w:val="1"/>
      <w:marLeft w:val="0"/>
      <w:marRight w:val="0"/>
      <w:marTop w:val="0"/>
      <w:marBottom w:val="0"/>
      <w:divBdr>
        <w:top w:val="none" w:sz="0" w:space="0" w:color="auto"/>
        <w:left w:val="none" w:sz="0" w:space="0" w:color="auto"/>
        <w:bottom w:val="none" w:sz="0" w:space="0" w:color="auto"/>
        <w:right w:val="none" w:sz="0" w:space="0" w:color="auto"/>
      </w:divBdr>
    </w:div>
    <w:div w:id="2027903955">
      <w:bodyDiv w:val="1"/>
      <w:marLeft w:val="0"/>
      <w:marRight w:val="0"/>
      <w:marTop w:val="0"/>
      <w:marBottom w:val="0"/>
      <w:divBdr>
        <w:top w:val="none" w:sz="0" w:space="0" w:color="auto"/>
        <w:left w:val="none" w:sz="0" w:space="0" w:color="auto"/>
        <w:bottom w:val="none" w:sz="0" w:space="0" w:color="auto"/>
        <w:right w:val="none" w:sz="0" w:space="0" w:color="auto"/>
      </w:divBdr>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
    <w:div w:id="2031450107">
      <w:bodyDiv w:val="1"/>
      <w:marLeft w:val="0"/>
      <w:marRight w:val="0"/>
      <w:marTop w:val="0"/>
      <w:marBottom w:val="0"/>
      <w:divBdr>
        <w:top w:val="none" w:sz="0" w:space="0" w:color="auto"/>
        <w:left w:val="none" w:sz="0" w:space="0" w:color="auto"/>
        <w:bottom w:val="none" w:sz="0" w:space="0" w:color="auto"/>
        <w:right w:val="none" w:sz="0" w:space="0" w:color="auto"/>
      </w:divBdr>
    </w:div>
    <w:div w:id="2044015236">
      <w:bodyDiv w:val="1"/>
      <w:marLeft w:val="0"/>
      <w:marRight w:val="0"/>
      <w:marTop w:val="0"/>
      <w:marBottom w:val="0"/>
      <w:divBdr>
        <w:top w:val="none" w:sz="0" w:space="0" w:color="auto"/>
        <w:left w:val="none" w:sz="0" w:space="0" w:color="auto"/>
        <w:bottom w:val="none" w:sz="0" w:space="0" w:color="auto"/>
        <w:right w:val="none" w:sz="0" w:space="0" w:color="auto"/>
      </w:divBdr>
    </w:div>
    <w:div w:id="2056194625">
      <w:bodyDiv w:val="1"/>
      <w:marLeft w:val="0"/>
      <w:marRight w:val="0"/>
      <w:marTop w:val="0"/>
      <w:marBottom w:val="0"/>
      <w:divBdr>
        <w:top w:val="none" w:sz="0" w:space="0" w:color="auto"/>
        <w:left w:val="none" w:sz="0" w:space="0" w:color="auto"/>
        <w:bottom w:val="none" w:sz="0" w:space="0" w:color="auto"/>
        <w:right w:val="none" w:sz="0" w:space="0" w:color="auto"/>
      </w:divBdr>
    </w:div>
    <w:div w:id="2061904945">
      <w:bodyDiv w:val="1"/>
      <w:marLeft w:val="0"/>
      <w:marRight w:val="0"/>
      <w:marTop w:val="0"/>
      <w:marBottom w:val="0"/>
      <w:divBdr>
        <w:top w:val="none" w:sz="0" w:space="0" w:color="auto"/>
        <w:left w:val="none" w:sz="0" w:space="0" w:color="auto"/>
        <w:bottom w:val="none" w:sz="0" w:space="0" w:color="auto"/>
        <w:right w:val="none" w:sz="0" w:space="0" w:color="auto"/>
      </w:divBdr>
    </w:div>
    <w:div w:id="2062437424">
      <w:bodyDiv w:val="1"/>
      <w:marLeft w:val="0"/>
      <w:marRight w:val="0"/>
      <w:marTop w:val="0"/>
      <w:marBottom w:val="0"/>
      <w:divBdr>
        <w:top w:val="none" w:sz="0" w:space="0" w:color="auto"/>
        <w:left w:val="none" w:sz="0" w:space="0" w:color="auto"/>
        <w:bottom w:val="none" w:sz="0" w:space="0" w:color="auto"/>
        <w:right w:val="none" w:sz="0" w:space="0" w:color="auto"/>
      </w:divBdr>
    </w:div>
    <w:div w:id="2069376864">
      <w:bodyDiv w:val="1"/>
      <w:marLeft w:val="0"/>
      <w:marRight w:val="0"/>
      <w:marTop w:val="0"/>
      <w:marBottom w:val="0"/>
      <w:divBdr>
        <w:top w:val="none" w:sz="0" w:space="0" w:color="auto"/>
        <w:left w:val="none" w:sz="0" w:space="0" w:color="auto"/>
        <w:bottom w:val="none" w:sz="0" w:space="0" w:color="auto"/>
        <w:right w:val="none" w:sz="0" w:space="0" w:color="auto"/>
      </w:divBdr>
    </w:div>
    <w:div w:id="2078745893">
      <w:bodyDiv w:val="1"/>
      <w:marLeft w:val="0"/>
      <w:marRight w:val="0"/>
      <w:marTop w:val="0"/>
      <w:marBottom w:val="0"/>
      <w:divBdr>
        <w:top w:val="none" w:sz="0" w:space="0" w:color="auto"/>
        <w:left w:val="none" w:sz="0" w:space="0" w:color="auto"/>
        <w:bottom w:val="none" w:sz="0" w:space="0" w:color="auto"/>
        <w:right w:val="none" w:sz="0" w:space="0" w:color="auto"/>
      </w:divBdr>
    </w:div>
    <w:div w:id="2080863214">
      <w:bodyDiv w:val="1"/>
      <w:marLeft w:val="0"/>
      <w:marRight w:val="0"/>
      <w:marTop w:val="0"/>
      <w:marBottom w:val="0"/>
      <w:divBdr>
        <w:top w:val="none" w:sz="0" w:space="0" w:color="auto"/>
        <w:left w:val="none" w:sz="0" w:space="0" w:color="auto"/>
        <w:bottom w:val="none" w:sz="0" w:space="0" w:color="auto"/>
        <w:right w:val="none" w:sz="0" w:space="0" w:color="auto"/>
      </w:divBdr>
    </w:div>
    <w:div w:id="2080904547">
      <w:bodyDiv w:val="1"/>
      <w:marLeft w:val="0"/>
      <w:marRight w:val="0"/>
      <w:marTop w:val="0"/>
      <w:marBottom w:val="0"/>
      <w:divBdr>
        <w:top w:val="none" w:sz="0" w:space="0" w:color="auto"/>
        <w:left w:val="none" w:sz="0" w:space="0" w:color="auto"/>
        <w:bottom w:val="none" w:sz="0" w:space="0" w:color="auto"/>
        <w:right w:val="none" w:sz="0" w:space="0" w:color="auto"/>
      </w:divBdr>
    </w:div>
    <w:div w:id="2084375852">
      <w:bodyDiv w:val="1"/>
      <w:marLeft w:val="0"/>
      <w:marRight w:val="0"/>
      <w:marTop w:val="0"/>
      <w:marBottom w:val="0"/>
      <w:divBdr>
        <w:top w:val="none" w:sz="0" w:space="0" w:color="auto"/>
        <w:left w:val="none" w:sz="0" w:space="0" w:color="auto"/>
        <w:bottom w:val="none" w:sz="0" w:space="0" w:color="auto"/>
        <w:right w:val="none" w:sz="0" w:space="0" w:color="auto"/>
      </w:divBdr>
    </w:div>
    <w:div w:id="2086414336">
      <w:bodyDiv w:val="1"/>
      <w:marLeft w:val="0"/>
      <w:marRight w:val="0"/>
      <w:marTop w:val="0"/>
      <w:marBottom w:val="0"/>
      <w:divBdr>
        <w:top w:val="none" w:sz="0" w:space="0" w:color="auto"/>
        <w:left w:val="none" w:sz="0" w:space="0" w:color="auto"/>
        <w:bottom w:val="none" w:sz="0" w:space="0" w:color="auto"/>
        <w:right w:val="none" w:sz="0" w:space="0" w:color="auto"/>
      </w:divBdr>
    </w:div>
    <w:div w:id="2088532085">
      <w:bodyDiv w:val="1"/>
      <w:marLeft w:val="0"/>
      <w:marRight w:val="0"/>
      <w:marTop w:val="0"/>
      <w:marBottom w:val="0"/>
      <w:divBdr>
        <w:top w:val="none" w:sz="0" w:space="0" w:color="auto"/>
        <w:left w:val="none" w:sz="0" w:space="0" w:color="auto"/>
        <w:bottom w:val="none" w:sz="0" w:space="0" w:color="auto"/>
        <w:right w:val="none" w:sz="0" w:space="0" w:color="auto"/>
      </w:divBdr>
    </w:div>
    <w:div w:id="2092269369">
      <w:bodyDiv w:val="1"/>
      <w:marLeft w:val="0"/>
      <w:marRight w:val="0"/>
      <w:marTop w:val="0"/>
      <w:marBottom w:val="0"/>
      <w:divBdr>
        <w:top w:val="none" w:sz="0" w:space="0" w:color="auto"/>
        <w:left w:val="none" w:sz="0" w:space="0" w:color="auto"/>
        <w:bottom w:val="none" w:sz="0" w:space="0" w:color="auto"/>
        <w:right w:val="none" w:sz="0" w:space="0" w:color="auto"/>
      </w:divBdr>
    </w:div>
    <w:div w:id="2099325344">
      <w:bodyDiv w:val="1"/>
      <w:marLeft w:val="0"/>
      <w:marRight w:val="0"/>
      <w:marTop w:val="0"/>
      <w:marBottom w:val="0"/>
      <w:divBdr>
        <w:top w:val="none" w:sz="0" w:space="0" w:color="auto"/>
        <w:left w:val="none" w:sz="0" w:space="0" w:color="auto"/>
        <w:bottom w:val="none" w:sz="0" w:space="0" w:color="auto"/>
        <w:right w:val="none" w:sz="0" w:space="0" w:color="auto"/>
      </w:divBdr>
    </w:div>
    <w:div w:id="2105496360">
      <w:bodyDiv w:val="1"/>
      <w:marLeft w:val="0"/>
      <w:marRight w:val="0"/>
      <w:marTop w:val="0"/>
      <w:marBottom w:val="0"/>
      <w:divBdr>
        <w:top w:val="none" w:sz="0" w:space="0" w:color="auto"/>
        <w:left w:val="none" w:sz="0" w:space="0" w:color="auto"/>
        <w:bottom w:val="none" w:sz="0" w:space="0" w:color="auto"/>
        <w:right w:val="none" w:sz="0" w:space="0" w:color="auto"/>
      </w:divBdr>
    </w:div>
    <w:div w:id="2106152818">
      <w:bodyDiv w:val="1"/>
      <w:marLeft w:val="0"/>
      <w:marRight w:val="0"/>
      <w:marTop w:val="0"/>
      <w:marBottom w:val="0"/>
      <w:divBdr>
        <w:top w:val="none" w:sz="0" w:space="0" w:color="auto"/>
        <w:left w:val="none" w:sz="0" w:space="0" w:color="auto"/>
        <w:bottom w:val="none" w:sz="0" w:space="0" w:color="auto"/>
        <w:right w:val="none" w:sz="0" w:space="0" w:color="auto"/>
      </w:divBdr>
    </w:div>
    <w:div w:id="2108192518">
      <w:bodyDiv w:val="1"/>
      <w:marLeft w:val="0"/>
      <w:marRight w:val="0"/>
      <w:marTop w:val="0"/>
      <w:marBottom w:val="0"/>
      <w:divBdr>
        <w:top w:val="none" w:sz="0" w:space="0" w:color="auto"/>
        <w:left w:val="none" w:sz="0" w:space="0" w:color="auto"/>
        <w:bottom w:val="none" w:sz="0" w:space="0" w:color="auto"/>
        <w:right w:val="none" w:sz="0" w:space="0" w:color="auto"/>
      </w:divBdr>
    </w:div>
    <w:div w:id="2113430016">
      <w:bodyDiv w:val="1"/>
      <w:marLeft w:val="0"/>
      <w:marRight w:val="0"/>
      <w:marTop w:val="0"/>
      <w:marBottom w:val="0"/>
      <w:divBdr>
        <w:top w:val="none" w:sz="0" w:space="0" w:color="auto"/>
        <w:left w:val="none" w:sz="0" w:space="0" w:color="auto"/>
        <w:bottom w:val="none" w:sz="0" w:space="0" w:color="auto"/>
        <w:right w:val="none" w:sz="0" w:space="0" w:color="auto"/>
      </w:divBdr>
    </w:div>
    <w:div w:id="2118795256">
      <w:bodyDiv w:val="1"/>
      <w:marLeft w:val="0"/>
      <w:marRight w:val="0"/>
      <w:marTop w:val="0"/>
      <w:marBottom w:val="0"/>
      <w:divBdr>
        <w:top w:val="none" w:sz="0" w:space="0" w:color="auto"/>
        <w:left w:val="none" w:sz="0" w:space="0" w:color="auto"/>
        <w:bottom w:val="none" w:sz="0" w:space="0" w:color="auto"/>
        <w:right w:val="none" w:sz="0" w:space="0" w:color="auto"/>
      </w:divBdr>
    </w:div>
    <w:div w:id="2119518346">
      <w:bodyDiv w:val="1"/>
      <w:marLeft w:val="0"/>
      <w:marRight w:val="0"/>
      <w:marTop w:val="0"/>
      <w:marBottom w:val="0"/>
      <w:divBdr>
        <w:top w:val="none" w:sz="0" w:space="0" w:color="auto"/>
        <w:left w:val="none" w:sz="0" w:space="0" w:color="auto"/>
        <w:bottom w:val="none" w:sz="0" w:space="0" w:color="auto"/>
        <w:right w:val="none" w:sz="0" w:space="0" w:color="auto"/>
      </w:divBdr>
    </w:div>
    <w:div w:id="2120056504">
      <w:bodyDiv w:val="1"/>
      <w:marLeft w:val="0"/>
      <w:marRight w:val="0"/>
      <w:marTop w:val="0"/>
      <w:marBottom w:val="0"/>
      <w:divBdr>
        <w:top w:val="none" w:sz="0" w:space="0" w:color="auto"/>
        <w:left w:val="none" w:sz="0" w:space="0" w:color="auto"/>
        <w:bottom w:val="none" w:sz="0" w:space="0" w:color="auto"/>
        <w:right w:val="none" w:sz="0" w:space="0" w:color="auto"/>
      </w:divBdr>
    </w:div>
    <w:div w:id="2123106583">
      <w:bodyDiv w:val="1"/>
      <w:marLeft w:val="0"/>
      <w:marRight w:val="0"/>
      <w:marTop w:val="0"/>
      <w:marBottom w:val="0"/>
      <w:divBdr>
        <w:top w:val="none" w:sz="0" w:space="0" w:color="auto"/>
        <w:left w:val="none" w:sz="0" w:space="0" w:color="auto"/>
        <w:bottom w:val="none" w:sz="0" w:space="0" w:color="auto"/>
        <w:right w:val="none" w:sz="0" w:space="0" w:color="auto"/>
      </w:divBdr>
    </w:div>
    <w:div w:id="2126194228">
      <w:bodyDiv w:val="1"/>
      <w:marLeft w:val="0"/>
      <w:marRight w:val="0"/>
      <w:marTop w:val="0"/>
      <w:marBottom w:val="0"/>
      <w:divBdr>
        <w:top w:val="none" w:sz="0" w:space="0" w:color="auto"/>
        <w:left w:val="none" w:sz="0" w:space="0" w:color="auto"/>
        <w:bottom w:val="none" w:sz="0" w:space="0" w:color="auto"/>
        <w:right w:val="none" w:sz="0" w:space="0" w:color="auto"/>
      </w:divBdr>
    </w:div>
    <w:div w:id="2129078400">
      <w:bodyDiv w:val="1"/>
      <w:marLeft w:val="0"/>
      <w:marRight w:val="0"/>
      <w:marTop w:val="0"/>
      <w:marBottom w:val="0"/>
      <w:divBdr>
        <w:top w:val="none" w:sz="0" w:space="0" w:color="auto"/>
        <w:left w:val="none" w:sz="0" w:space="0" w:color="auto"/>
        <w:bottom w:val="none" w:sz="0" w:space="0" w:color="auto"/>
        <w:right w:val="none" w:sz="0" w:space="0" w:color="auto"/>
      </w:divBdr>
    </w:div>
    <w:div w:id="2130539692">
      <w:bodyDiv w:val="1"/>
      <w:marLeft w:val="0"/>
      <w:marRight w:val="0"/>
      <w:marTop w:val="0"/>
      <w:marBottom w:val="0"/>
      <w:divBdr>
        <w:top w:val="none" w:sz="0" w:space="0" w:color="auto"/>
        <w:left w:val="none" w:sz="0" w:space="0" w:color="auto"/>
        <w:bottom w:val="none" w:sz="0" w:space="0" w:color="auto"/>
        <w:right w:val="none" w:sz="0" w:space="0" w:color="auto"/>
      </w:divBdr>
    </w:div>
    <w:div w:id="2131195753">
      <w:bodyDiv w:val="1"/>
      <w:marLeft w:val="0"/>
      <w:marRight w:val="0"/>
      <w:marTop w:val="0"/>
      <w:marBottom w:val="0"/>
      <w:divBdr>
        <w:top w:val="none" w:sz="0" w:space="0" w:color="auto"/>
        <w:left w:val="none" w:sz="0" w:space="0" w:color="auto"/>
        <w:bottom w:val="none" w:sz="0" w:space="0" w:color="auto"/>
        <w:right w:val="none" w:sz="0" w:space="0" w:color="auto"/>
      </w:divBdr>
    </w:div>
    <w:div w:id="2131825362">
      <w:bodyDiv w:val="1"/>
      <w:marLeft w:val="0"/>
      <w:marRight w:val="0"/>
      <w:marTop w:val="0"/>
      <w:marBottom w:val="0"/>
      <w:divBdr>
        <w:top w:val="none" w:sz="0" w:space="0" w:color="auto"/>
        <w:left w:val="none" w:sz="0" w:space="0" w:color="auto"/>
        <w:bottom w:val="none" w:sz="0" w:space="0" w:color="auto"/>
        <w:right w:val="none" w:sz="0" w:space="0" w:color="auto"/>
      </w:divBdr>
    </w:div>
    <w:div w:id="2133204169">
      <w:bodyDiv w:val="1"/>
      <w:marLeft w:val="0"/>
      <w:marRight w:val="0"/>
      <w:marTop w:val="0"/>
      <w:marBottom w:val="0"/>
      <w:divBdr>
        <w:top w:val="none" w:sz="0" w:space="0" w:color="auto"/>
        <w:left w:val="none" w:sz="0" w:space="0" w:color="auto"/>
        <w:bottom w:val="none" w:sz="0" w:space="0" w:color="auto"/>
        <w:right w:val="none" w:sz="0" w:space="0" w:color="auto"/>
      </w:divBdr>
    </w:div>
    <w:div w:id="2133472727">
      <w:bodyDiv w:val="1"/>
      <w:marLeft w:val="0"/>
      <w:marRight w:val="0"/>
      <w:marTop w:val="0"/>
      <w:marBottom w:val="0"/>
      <w:divBdr>
        <w:top w:val="none" w:sz="0" w:space="0" w:color="auto"/>
        <w:left w:val="none" w:sz="0" w:space="0" w:color="auto"/>
        <w:bottom w:val="none" w:sz="0" w:space="0" w:color="auto"/>
        <w:right w:val="none" w:sz="0" w:space="0" w:color="auto"/>
      </w:divBdr>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106439">
      <w:bodyDiv w:val="1"/>
      <w:marLeft w:val="0"/>
      <w:marRight w:val="0"/>
      <w:marTop w:val="0"/>
      <w:marBottom w:val="0"/>
      <w:divBdr>
        <w:top w:val="none" w:sz="0" w:space="0" w:color="auto"/>
        <w:left w:val="none" w:sz="0" w:space="0" w:color="auto"/>
        <w:bottom w:val="none" w:sz="0" w:space="0" w:color="auto"/>
        <w:right w:val="none" w:sz="0" w:space="0" w:color="auto"/>
      </w:divBdr>
    </w:div>
    <w:div w:id="2146585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33A57-FF8C-4ACB-B810-0ACC8AF1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6948</Words>
  <Characters>38219</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Angelina</Company>
  <LinksUpToDate>false</LinksUpToDate>
  <CharactersWithSpaces>45077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Araiz</dc:creator>
  <cp:keywords/>
  <dc:description/>
  <cp:lastModifiedBy>Maria Marta</cp:lastModifiedBy>
  <cp:revision>2</cp:revision>
  <cp:lastPrinted>2021-05-19T13:13:00Z</cp:lastPrinted>
  <dcterms:created xsi:type="dcterms:W3CDTF">2022-03-25T13:02:00Z</dcterms:created>
  <dcterms:modified xsi:type="dcterms:W3CDTF">2022-03-25T13:02:00Z</dcterms:modified>
</cp:coreProperties>
</file>