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40" w:rsidRDefault="00B806E3">
      <w:pPr>
        <w:rPr>
          <w:b/>
          <w:sz w:val="28"/>
          <w:szCs w:val="28"/>
        </w:rPr>
      </w:pPr>
      <w:r>
        <w:rPr>
          <w:b/>
          <w:sz w:val="28"/>
          <w:szCs w:val="28"/>
        </w:rPr>
        <w:t xml:space="preserve">MENSAJE 15/2019: </w:t>
      </w:r>
      <w:r w:rsidR="00BA13D7" w:rsidRPr="00BA13D7">
        <w:rPr>
          <w:b/>
          <w:sz w:val="28"/>
          <w:szCs w:val="28"/>
        </w:rPr>
        <w:t>AVANCE DEL PRESUPUESTO NACIONAL 2020</w:t>
      </w:r>
    </w:p>
    <w:p w:rsidR="00D91E01" w:rsidRDefault="00D91E01" w:rsidP="00067F59">
      <w:pPr>
        <w:spacing w:line="240" w:lineRule="auto"/>
        <w:jc w:val="both"/>
        <w:rPr>
          <w:sz w:val="24"/>
          <w:szCs w:val="24"/>
        </w:rPr>
      </w:pPr>
      <w:r>
        <w:rPr>
          <w:sz w:val="24"/>
          <w:szCs w:val="24"/>
        </w:rPr>
        <w:t>En pri</w:t>
      </w:r>
      <w:r w:rsidR="00067F59">
        <w:rPr>
          <w:sz w:val="24"/>
          <w:szCs w:val="24"/>
        </w:rPr>
        <w:t xml:space="preserve">mer lugar, </w:t>
      </w:r>
      <w:r>
        <w:rPr>
          <w:sz w:val="24"/>
          <w:szCs w:val="24"/>
        </w:rPr>
        <w:t>en cumplimiento del último párrafo del Art. 2do. De la Ley 24.629</w:t>
      </w:r>
      <w:r w:rsidR="004500B7">
        <w:rPr>
          <w:sz w:val="24"/>
          <w:szCs w:val="24"/>
        </w:rPr>
        <w:t xml:space="preserve"> (</w:t>
      </w:r>
      <w:r w:rsidR="00067F59">
        <w:rPr>
          <w:sz w:val="24"/>
          <w:szCs w:val="24"/>
        </w:rPr>
        <w:t>N</w:t>
      </w:r>
      <w:r w:rsidR="004500B7" w:rsidRPr="004500B7">
        <w:rPr>
          <w:sz w:val="24"/>
          <w:szCs w:val="24"/>
        </w:rPr>
        <w:t xml:space="preserve">ormas </w:t>
      </w:r>
      <w:r w:rsidR="00067F59">
        <w:rPr>
          <w:sz w:val="24"/>
          <w:szCs w:val="24"/>
        </w:rPr>
        <w:t>complementarias para la ejecución del presupuesto de la Administración N</w:t>
      </w:r>
      <w:r w:rsidR="004500B7" w:rsidRPr="004500B7">
        <w:rPr>
          <w:sz w:val="24"/>
          <w:szCs w:val="24"/>
        </w:rPr>
        <w:t>acional</w:t>
      </w:r>
      <w:r w:rsidR="00067F59">
        <w:rPr>
          <w:sz w:val="24"/>
          <w:szCs w:val="24"/>
        </w:rPr>
        <w:t xml:space="preserve">), remite al Congreso de la </w:t>
      </w:r>
      <w:r w:rsidR="00DE2597">
        <w:rPr>
          <w:sz w:val="24"/>
          <w:szCs w:val="24"/>
        </w:rPr>
        <w:t>Nación</w:t>
      </w:r>
      <w:r w:rsidR="00067F59">
        <w:rPr>
          <w:sz w:val="24"/>
          <w:szCs w:val="24"/>
        </w:rPr>
        <w:t xml:space="preserve"> el “avance” presupuestario.</w:t>
      </w:r>
    </w:p>
    <w:p w:rsidR="00067F59" w:rsidRDefault="00067F59" w:rsidP="00067F59">
      <w:pPr>
        <w:spacing w:line="240" w:lineRule="auto"/>
        <w:jc w:val="both"/>
        <w:rPr>
          <w:sz w:val="24"/>
          <w:szCs w:val="24"/>
        </w:rPr>
      </w:pPr>
      <w:r>
        <w:rPr>
          <w:sz w:val="24"/>
          <w:szCs w:val="24"/>
        </w:rPr>
        <w:t>En segundo término, es importante por el BAPIN (Banco de Proyectos de Inversión) donde constan los proyectos, sus plazos de obra, las metas físicas del período 2020-2022 y su estimación de costo)</w:t>
      </w:r>
    </w:p>
    <w:p w:rsidR="00067F59" w:rsidRDefault="00067F59" w:rsidP="00067F59">
      <w:pPr>
        <w:spacing w:line="240" w:lineRule="auto"/>
        <w:jc w:val="both"/>
        <w:rPr>
          <w:sz w:val="24"/>
          <w:szCs w:val="24"/>
        </w:rPr>
      </w:pPr>
      <w:r>
        <w:rPr>
          <w:sz w:val="24"/>
          <w:szCs w:val="24"/>
        </w:rPr>
        <w:t>En ese marco definen:</w:t>
      </w:r>
    </w:p>
    <w:p w:rsidR="003D313E" w:rsidRPr="003D313E" w:rsidRDefault="00067F59" w:rsidP="003D313E">
      <w:pPr>
        <w:autoSpaceDE w:val="0"/>
        <w:autoSpaceDN w:val="0"/>
        <w:adjustRightInd w:val="0"/>
        <w:spacing w:after="0" w:line="240" w:lineRule="auto"/>
        <w:rPr>
          <w:sz w:val="24"/>
          <w:szCs w:val="24"/>
        </w:rPr>
      </w:pPr>
      <w:r>
        <w:rPr>
          <w:sz w:val="24"/>
          <w:szCs w:val="24"/>
        </w:rPr>
        <w:t xml:space="preserve">Que están realizando mejoras en la presentación del Presupuesto Nacional </w:t>
      </w:r>
      <w:r w:rsidR="003D313E">
        <w:rPr>
          <w:sz w:val="24"/>
          <w:szCs w:val="24"/>
        </w:rPr>
        <w:t xml:space="preserve">que lo dividen en:  a) </w:t>
      </w:r>
      <w:r w:rsidR="003D313E" w:rsidRPr="003D313E">
        <w:rPr>
          <w:sz w:val="24"/>
          <w:szCs w:val="24"/>
        </w:rPr>
        <w:t>Impulso a la transparencia fiscal;</w:t>
      </w:r>
    </w:p>
    <w:p w:rsidR="003D313E" w:rsidRDefault="003D313E" w:rsidP="003D313E">
      <w:pPr>
        <w:autoSpaceDE w:val="0"/>
        <w:autoSpaceDN w:val="0"/>
        <w:adjustRightInd w:val="0"/>
        <w:spacing w:after="0" w:line="240" w:lineRule="auto"/>
        <w:rPr>
          <w:sz w:val="24"/>
          <w:szCs w:val="24"/>
        </w:rPr>
      </w:pPr>
      <w:r w:rsidRPr="003D313E">
        <w:rPr>
          <w:sz w:val="24"/>
          <w:szCs w:val="24"/>
        </w:rPr>
        <w:t xml:space="preserve">- </w:t>
      </w:r>
      <w:r>
        <w:rPr>
          <w:sz w:val="24"/>
          <w:szCs w:val="24"/>
        </w:rPr>
        <w:t xml:space="preserve">     b) </w:t>
      </w:r>
      <w:r w:rsidRPr="003D313E">
        <w:rPr>
          <w:sz w:val="24"/>
          <w:szCs w:val="24"/>
        </w:rPr>
        <w:t>Orientación a resul</w:t>
      </w:r>
      <w:r>
        <w:rPr>
          <w:sz w:val="24"/>
          <w:szCs w:val="24"/>
        </w:rPr>
        <w:t>tados del Presupuesto Nacional;</w:t>
      </w:r>
      <w:r>
        <w:rPr>
          <w:sz w:val="24"/>
          <w:szCs w:val="24"/>
        </w:rPr>
        <w:tab/>
      </w:r>
    </w:p>
    <w:p w:rsidR="00260AA7" w:rsidRDefault="003D313E" w:rsidP="003D313E">
      <w:pPr>
        <w:autoSpaceDE w:val="0"/>
        <w:autoSpaceDN w:val="0"/>
        <w:adjustRightInd w:val="0"/>
        <w:spacing w:after="0" w:line="240" w:lineRule="auto"/>
        <w:rPr>
          <w:sz w:val="24"/>
          <w:szCs w:val="24"/>
        </w:rPr>
      </w:pPr>
      <w:r>
        <w:rPr>
          <w:sz w:val="24"/>
          <w:szCs w:val="24"/>
        </w:rPr>
        <w:t xml:space="preserve">        c) </w:t>
      </w:r>
      <w:r w:rsidRPr="003D313E">
        <w:rPr>
          <w:sz w:val="24"/>
          <w:szCs w:val="24"/>
        </w:rPr>
        <w:t>Universalización institucional del Sistema Inte</w:t>
      </w:r>
      <w:r>
        <w:rPr>
          <w:sz w:val="24"/>
          <w:szCs w:val="24"/>
        </w:rPr>
        <w:t xml:space="preserve">grado de Información Financiera </w:t>
      </w:r>
      <w:r w:rsidRPr="003D313E">
        <w:rPr>
          <w:sz w:val="24"/>
          <w:szCs w:val="24"/>
        </w:rPr>
        <w:t>(eSIDIF</w:t>
      </w:r>
      <w:r>
        <w:rPr>
          <w:sz w:val="24"/>
          <w:szCs w:val="24"/>
        </w:rPr>
        <w:t>)</w:t>
      </w:r>
    </w:p>
    <w:p w:rsidR="00260AA7" w:rsidRDefault="00260AA7" w:rsidP="003D313E">
      <w:pPr>
        <w:autoSpaceDE w:val="0"/>
        <w:autoSpaceDN w:val="0"/>
        <w:adjustRightInd w:val="0"/>
        <w:spacing w:after="0" w:line="240" w:lineRule="auto"/>
        <w:rPr>
          <w:sz w:val="24"/>
          <w:szCs w:val="24"/>
        </w:rPr>
      </w:pPr>
    </w:p>
    <w:p w:rsidR="00260AA7" w:rsidRDefault="00260AA7" w:rsidP="00B806E3">
      <w:pPr>
        <w:autoSpaceDE w:val="0"/>
        <w:autoSpaceDN w:val="0"/>
        <w:adjustRightInd w:val="0"/>
        <w:spacing w:after="0" w:line="240" w:lineRule="auto"/>
        <w:jc w:val="both"/>
        <w:rPr>
          <w:sz w:val="24"/>
          <w:szCs w:val="24"/>
        </w:rPr>
      </w:pPr>
      <w:r>
        <w:rPr>
          <w:sz w:val="24"/>
          <w:szCs w:val="24"/>
        </w:rPr>
        <w:t>Por ejemplo</w:t>
      </w:r>
      <w:r w:rsidR="00B806E3">
        <w:rPr>
          <w:sz w:val="24"/>
          <w:szCs w:val="24"/>
        </w:rPr>
        <w:t>,</w:t>
      </w:r>
      <w:r>
        <w:rPr>
          <w:sz w:val="24"/>
          <w:szCs w:val="24"/>
        </w:rPr>
        <w:t xml:space="preserve"> resaltan que:  </w:t>
      </w:r>
      <w:r w:rsidR="00096E83">
        <w:rPr>
          <w:sz w:val="24"/>
          <w:szCs w:val="24"/>
        </w:rPr>
        <w:t xml:space="preserve">Incorporan </w:t>
      </w:r>
      <w:r w:rsidRPr="00096E83">
        <w:rPr>
          <w:sz w:val="24"/>
          <w:szCs w:val="24"/>
        </w:rPr>
        <w:t>en los informes trimestrales de seguimiento físico</w:t>
      </w:r>
      <w:r w:rsidR="00096E83">
        <w:rPr>
          <w:sz w:val="24"/>
          <w:szCs w:val="24"/>
        </w:rPr>
        <w:t xml:space="preserve"> financiero </w:t>
      </w:r>
      <w:r w:rsidRPr="00096E83">
        <w:rPr>
          <w:sz w:val="24"/>
          <w:szCs w:val="24"/>
        </w:rPr>
        <w:t xml:space="preserve">del Presupuesto Nacional de </w:t>
      </w:r>
      <w:r w:rsidR="00096E83">
        <w:rPr>
          <w:sz w:val="24"/>
          <w:szCs w:val="24"/>
        </w:rPr>
        <w:t xml:space="preserve">la relación entre las políticas </w:t>
      </w:r>
      <w:r w:rsidRPr="00096E83">
        <w:rPr>
          <w:sz w:val="24"/>
          <w:szCs w:val="24"/>
        </w:rPr>
        <w:t>gubernamentales y los Objetivos</w:t>
      </w:r>
      <w:r w:rsidR="00096E83">
        <w:rPr>
          <w:sz w:val="24"/>
          <w:szCs w:val="24"/>
        </w:rPr>
        <w:t xml:space="preserve"> de Desarrollo Sostenible (ODS) </w:t>
      </w:r>
      <w:r w:rsidRPr="00096E83">
        <w:rPr>
          <w:sz w:val="24"/>
          <w:szCs w:val="24"/>
        </w:rPr>
        <w:t>establecidos en la Agenda 2030 de las Naciones Unidas (ONU</w:t>
      </w:r>
      <w:r w:rsidR="00096E83">
        <w:rPr>
          <w:sz w:val="24"/>
          <w:szCs w:val="24"/>
        </w:rPr>
        <w:t>), pero la verdad que la información es muy pobre, solo presentan las metas físicas de algunos programas</w:t>
      </w:r>
      <w:r w:rsidR="00B806E3">
        <w:rPr>
          <w:sz w:val="24"/>
          <w:szCs w:val="24"/>
        </w:rPr>
        <w:t>, porque también solo han fijado esas metas en determinados programas de cada jurisdicción.  En el Mensaje 15/2019 sostienen que realizan un s</w:t>
      </w:r>
      <w:r w:rsidR="00B806E3" w:rsidRPr="00B806E3">
        <w:rPr>
          <w:sz w:val="24"/>
          <w:szCs w:val="24"/>
        </w:rPr>
        <w:t>eguimiento mensual de más de 350 metas relevantes del</w:t>
      </w:r>
      <w:r w:rsidR="00B806E3">
        <w:rPr>
          <w:sz w:val="24"/>
          <w:szCs w:val="24"/>
        </w:rPr>
        <w:t xml:space="preserve"> </w:t>
      </w:r>
      <w:r w:rsidR="00B806E3" w:rsidRPr="00B806E3">
        <w:rPr>
          <w:sz w:val="24"/>
          <w:szCs w:val="24"/>
        </w:rPr>
        <w:t>Presupuesto Nacional, sob</w:t>
      </w:r>
      <w:r w:rsidR="00B806E3">
        <w:rPr>
          <w:sz w:val="24"/>
          <w:szCs w:val="24"/>
        </w:rPr>
        <w:t xml:space="preserve">re casi 1.800 existentes en los </w:t>
      </w:r>
      <w:r w:rsidR="00B806E3" w:rsidRPr="00B806E3">
        <w:rPr>
          <w:sz w:val="24"/>
          <w:szCs w:val="24"/>
        </w:rPr>
        <w:t>programas presupuestarios con mediciones físicas</w:t>
      </w:r>
    </w:p>
    <w:p w:rsidR="00B806E3" w:rsidRDefault="00B806E3" w:rsidP="00096E83">
      <w:pPr>
        <w:autoSpaceDE w:val="0"/>
        <w:autoSpaceDN w:val="0"/>
        <w:adjustRightInd w:val="0"/>
        <w:spacing w:after="0" w:line="240" w:lineRule="auto"/>
        <w:jc w:val="both"/>
        <w:rPr>
          <w:sz w:val="24"/>
          <w:szCs w:val="24"/>
        </w:rPr>
      </w:pPr>
    </w:p>
    <w:p w:rsidR="00B806E3" w:rsidRDefault="00DB14AB" w:rsidP="00096E83">
      <w:pPr>
        <w:autoSpaceDE w:val="0"/>
        <w:autoSpaceDN w:val="0"/>
        <w:adjustRightInd w:val="0"/>
        <w:spacing w:after="0" w:line="240" w:lineRule="auto"/>
        <w:jc w:val="both"/>
        <w:rPr>
          <w:sz w:val="24"/>
          <w:szCs w:val="24"/>
        </w:rPr>
      </w:pPr>
      <w:r>
        <w:rPr>
          <w:sz w:val="24"/>
          <w:szCs w:val="24"/>
        </w:rPr>
        <w:t>Lo mismo con los Resultados, solo publicaron en 107 programas de la Cuenta de Inversión (ejercicio fiscal ejecutado 2018) y dicen que van a ser 120 para el Presupuesto 2019 y 125 para el Presupuesto ejecutado 2020.</w:t>
      </w:r>
    </w:p>
    <w:p w:rsidR="00DB14AB" w:rsidRDefault="00DB14AB" w:rsidP="00096E83">
      <w:pPr>
        <w:autoSpaceDE w:val="0"/>
        <w:autoSpaceDN w:val="0"/>
        <w:adjustRightInd w:val="0"/>
        <w:spacing w:after="0" w:line="240" w:lineRule="auto"/>
        <w:jc w:val="both"/>
        <w:rPr>
          <w:sz w:val="24"/>
          <w:szCs w:val="24"/>
        </w:rPr>
      </w:pPr>
    </w:p>
    <w:p w:rsidR="00DB14AB" w:rsidRDefault="00AC7E49" w:rsidP="00096E83">
      <w:pPr>
        <w:autoSpaceDE w:val="0"/>
        <w:autoSpaceDN w:val="0"/>
        <w:adjustRightInd w:val="0"/>
        <w:spacing w:after="0" w:line="240" w:lineRule="auto"/>
        <w:jc w:val="both"/>
        <w:rPr>
          <w:sz w:val="24"/>
          <w:szCs w:val="24"/>
        </w:rPr>
      </w:pPr>
      <w:r>
        <w:rPr>
          <w:sz w:val="24"/>
          <w:szCs w:val="24"/>
        </w:rPr>
        <w:t>Si en el caso del SIDIF lo ampliaron a todo el Sector Público Nacional No Financiero (Empresas Públicas, Fondos Fiduciarios, etc.</w:t>
      </w:r>
    </w:p>
    <w:p w:rsidR="00AC7E49" w:rsidRDefault="00AC7E49" w:rsidP="00096E83">
      <w:pPr>
        <w:autoSpaceDE w:val="0"/>
        <w:autoSpaceDN w:val="0"/>
        <w:adjustRightInd w:val="0"/>
        <w:spacing w:after="0" w:line="240" w:lineRule="auto"/>
        <w:jc w:val="both"/>
        <w:rPr>
          <w:sz w:val="24"/>
          <w:szCs w:val="24"/>
        </w:rPr>
      </w:pPr>
    </w:p>
    <w:p w:rsidR="004430C8" w:rsidRDefault="004430C8" w:rsidP="00096E83">
      <w:pPr>
        <w:autoSpaceDE w:val="0"/>
        <w:autoSpaceDN w:val="0"/>
        <w:adjustRightInd w:val="0"/>
        <w:spacing w:after="0" w:line="240" w:lineRule="auto"/>
        <w:jc w:val="both"/>
        <w:rPr>
          <w:b/>
          <w:sz w:val="24"/>
          <w:szCs w:val="24"/>
        </w:rPr>
      </w:pPr>
    </w:p>
    <w:p w:rsidR="00AC7E49" w:rsidRPr="002B10D1" w:rsidRDefault="002B10D1" w:rsidP="00096E83">
      <w:pPr>
        <w:autoSpaceDE w:val="0"/>
        <w:autoSpaceDN w:val="0"/>
        <w:adjustRightInd w:val="0"/>
        <w:spacing w:after="0" w:line="240" w:lineRule="auto"/>
        <w:jc w:val="both"/>
        <w:rPr>
          <w:b/>
          <w:sz w:val="24"/>
          <w:szCs w:val="24"/>
        </w:rPr>
      </w:pPr>
      <w:r>
        <w:rPr>
          <w:b/>
          <w:sz w:val="24"/>
          <w:szCs w:val="24"/>
        </w:rPr>
        <w:t xml:space="preserve">EJECUCION GLOBAL </w:t>
      </w:r>
      <w:r w:rsidRPr="002B10D1">
        <w:rPr>
          <w:b/>
          <w:sz w:val="24"/>
          <w:szCs w:val="24"/>
        </w:rPr>
        <w:t>DE MEDIO TERMINO:</w:t>
      </w:r>
    </w:p>
    <w:p w:rsidR="00096E83" w:rsidRDefault="00096E83" w:rsidP="00096E83">
      <w:pPr>
        <w:autoSpaceDE w:val="0"/>
        <w:autoSpaceDN w:val="0"/>
        <w:adjustRightInd w:val="0"/>
        <w:spacing w:after="0" w:line="240" w:lineRule="auto"/>
        <w:jc w:val="both"/>
        <w:rPr>
          <w:sz w:val="24"/>
          <w:szCs w:val="24"/>
        </w:rPr>
      </w:pPr>
    </w:p>
    <w:p w:rsidR="004430C8" w:rsidRDefault="002B10D1" w:rsidP="00096E83">
      <w:pPr>
        <w:autoSpaceDE w:val="0"/>
        <w:autoSpaceDN w:val="0"/>
        <w:adjustRightInd w:val="0"/>
        <w:spacing w:after="0" w:line="240" w:lineRule="auto"/>
        <w:jc w:val="both"/>
        <w:rPr>
          <w:sz w:val="24"/>
          <w:szCs w:val="24"/>
        </w:rPr>
      </w:pPr>
      <w:r>
        <w:rPr>
          <w:sz w:val="24"/>
          <w:szCs w:val="24"/>
        </w:rPr>
        <w:t xml:space="preserve">Publican los grandes agregados ejecutados al 31 de </w:t>
      </w:r>
      <w:r w:rsidR="00DE2597">
        <w:rPr>
          <w:sz w:val="24"/>
          <w:szCs w:val="24"/>
        </w:rPr>
        <w:t>mayo</w:t>
      </w:r>
      <w:r>
        <w:rPr>
          <w:sz w:val="24"/>
          <w:szCs w:val="24"/>
        </w:rPr>
        <w:t xml:space="preserve"> 2019</w:t>
      </w:r>
      <w:r w:rsidR="004430C8">
        <w:rPr>
          <w:sz w:val="24"/>
          <w:szCs w:val="24"/>
        </w:rPr>
        <w:t xml:space="preserve">, que es la síntesis del Resultado Fiscal al mes de mayo 2019 (Y el 22 de julio publican el Resultado Fiscal del mes de junio 2019), donde demuestran un alto porcentaje de ejecución, pero se debe contemplar la inflación, por lo </w:t>
      </w:r>
      <w:r w:rsidR="00DE2597">
        <w:rPr>
          <w:sz w:val="24"/>
          <w:szCs w:val="24"/>
        </w:rPr>
        <w:t>que,</w:t>
      </w:r>
      <w:r w:rsidR="004430C8">
        <w:rPr>
          <w:sz w:val="24"/>
          <w:szCs w:val="24"/>
        </w:rPr>
        <w:t xml:space="preserve"> en términos reales, ni la ejecución del gasto, ni la recaudación tributaria reflejan lo que nominalmente se contabiliza.</w:t>
      </w:r>
    </w:p>
    <w:p w:rsidR="004430C8" w:rsidRDefault="004430C8" w:rsidP="00096E83">
      <w:pPr>
        <w:autoSpaceDE w:val="0"/>
        <w:autoSpaceDN w:val="0"/>
        <w:adjustRightInd w:val="0"/>
        <w:spacing w:after="0" w:line="240" w:lineRule="auto"/>
        <w:jc w:val="both"/>
        <w:rPr>
          <w:sz w:val="24"/>
          <w:szCs w:val="24"/>
        </w:rPr>
      </w:pPr>
    </w:p>
    <w:p w:rsidR="005F3296" w:rsidRDefault="004430C8" w:rsidP="005F3296">
      <w:pPr>
        <w:autoSpaceDE w:val="0"/>
        <w:autoSpaceDN w:val="0"/>
        <w:adjustRightInd w:val="0"/>
        <w:spacing w:after="0" w:line="240" w:lineRule="auto"/>
        <w:jc w:val="both"/>
        <w:rPr>
          <w:sz w:val="24"/>
          <w:szCs w:val="24"/>
        </w:rPr>
      </w:pPr>
      <w:r>
        <w:rPr>
          <w:sz w:val="24"/>
          <w:szCs w:val="24"/>
        </w:rPr>
        <w:t>Como lo hemos resaltado en el Informe del Resultado Fiscal de mayo de 2019,</w:t>
      </w:r>
      <w:r w:rsidR="005F3296">
        <w:rPr>
          <w:sz w:val="24"/>
          <w:szCs w:val="24"/>
        </w:rPr>
        <w:t xml:space="preserve"> </w:t>
      </w:r>
      <w:r w:rsidR="005F3296" w:rsidRPr="005F3296">
        <w:rPr>
          <w:sz w:val="24"/>
          <w:szCs w:val="24"/>
        </w:rPr>
        <w:t xml:space="preserve">ante el descenso en </w:t>
      </w:r>
      <w:r w:rsidR="005F3296">
        <w:rPr>
          <w:sz w:val="24"/>
          <w:szCs w:val="24"/>
        </w:rPr>
        <w:t>términos reales de la recaudación, se ajusta má</w:t>
      </w:r>
      <w:r w:rsidR="005F3296" w:rsidRPr="005F3296">
        <w:rPr>
          <w:sz w:val="24"/>
          <w:szCs w:val="24"/>
        </w:rPr>
        <w:t>s el gasto primario, pero el pago de los intere</w:t>
      </w:r>
      <w:r w:rsidR="005F3296">
        <w:rPr>
          <w:sz w:val="24"/>
          <w:szCs w:val="24"/>
        </w:rPr>
        <w:t>ses de la deuda convierte en inú</w:t>
      </w:r>
      <w:r w:rsidR="005F3296" w:rsidRPr="005F3296">
        <w:rPr>
          <w:sz w:val="24"/>
          <w:szCs w:val="24"/>
        </w:rPr>
        <w:t>til todo ajuste</w:t>
      </w:r>
      <w:r w:rsidR="005F3296">
        <w:rPr>
          <w:sz w:val="24"/>
          <w:szCs w:val="24"/>
        </w:rPr>
        <w:t>.</w:t>
      </w:r>
    </w:p>
    <w:p w:rsidR="005F3296" w:rsidRDefault="005F3296" w:rsidP="005F3296">
      <w:pPr>
        <w:autoSpaceDE w:val="0"/>
        <w:autoSpaceDN w:val="0"/>
        <w:adjustRightInd w:val="0"/>
        <w:spacing w:after="0" w:line="240" w:lineRule="auto"/>
        <w:jc w:val="both"/>
        <w:rPr>
          <w:sz w:val="24"/>
          <w:szCs w:val="24"/>
        </w:rPr>
      </w:pPr>
    </w:p>
    <w:p w:rsidR="005F3296" w:rsidRDefault="005F3296" w:rsidP="005F3296">
      <w:pPr>
        <w:autoSpaceDE w:val="0"/>
        <w:autoSpaceDN w:val="0"/>
        <w:adjustRightInd w:val="0"/>
        <w:spacing w:after="0" w:line="240" w:lineRule="auto"/>
        <w:jc w:val="both"/>
        <w:rPr>
          <w:sz w:val="24"/>
          <w:szCs w:val="24"/>
        </w:rPr>
      </w:pPr>
      <w:r>
        <w:rPr>
          <w:sz w:val="24"/>
          <w:szCs w:val="24"/>
        </w:rPr>
        <w:t xml:space="preserve">En efecto, </w:t>
      </w:r>
      <w:r w:rsidRPr="005F3296">
        <w:rPr>
          <w:sz w:val="24"/>
          <w:szCs w:val="24"/>
        </w:rPr>
        <w:t>Los ingresos totales acumulados en los primeros cinco meses del año 2019 de la Administración Naci</w:t>
      </w:r>
      <w:r w:rsidR="00C76EF4">
        <w:rPr>
          <w:sz w:val="24"/>
          <w:szCs w:val="24"/>
        </w:rPr>
        <w:t xml:space="preserve">onal significan el 37,2% del Presupuesto, pero no dicen que se </w:t>
      </w:r>
      <w:r w:rsidR="00C76EF4">
        <w:rPr>
          <w:sz w:val="24"/>
          <w:szCs w:val="24"/>
        </w:rPr>
        <w:lastRenderedPageBreak/>
        <w:t>incrementaron en un</w:t>
      </w:r>
      <w:r w:rsidRPr="005F3296">
        <w:rPr>
          <w:sz w:val="24"/>
          <w:szCs w:val="24"/>
        </w:rPr>
        <w:t xml:space="preserve"> </w:t>
      </w:r>
      <w:r w:rsidR="00E013F1">
        <w:rPr>
          <w:sz w:val="24"/>
          <w:szCs w:val="24"/>
        </w:rPr>
        <w:t>43</w:t>
      </w:r>
      <w:r w:rsidR="00C76EF4">
        <w:rPr>
          <w:sz w:val="24"/>
          <w:szCs w:val="24"/>
        </w:rPr>
        <w:t xml:space="preserve">,4% </w:t>
      </w:r>
      <w:r w:rsidRPr="005F3296">
        <w:rPr>
          <w:sz w:val="24"/>
          <w:szCs w:val="24"/>
        </w:rPr>
        <w:t xml:space="preserve">con un IPC medido por el INDEC </w:t>
      </w:r>
      <w:r w:rsidR="00C76EF4">
        <w:rPr>
          <w:sz w:val="24"/>
          <w:szCs w:val="24"/>
        </w:rPr>
        <w:t xml:space="preserve">de </w:t>
      </w:r>
      <w:r w:rsidRPr="005F3296">
        <w:rPr>
          <w:sz w:val="24"/>
          <w:szCs w:val="24"/>
        </w:rPr>
        <w:t>mayo 2019 contra mayo de 2018 del 57,3%, razón por la cual el gobierno ajusta fuertemente el gasto primario (antes del pago de los intereses de la deuda) erogación que se incrementó interanualmente en un 32,9%</w:t>
      </w:r>
      <w:r w:rsidR="00C76EF4">
        <w:rPr>
          <w:sz w:val="24"/>
          <w:szCs w:val="24"/>
        </w:rPr>
        <w:t>, y que significa el 35,2% del gasto presupuestado.</w:t>
      </w:r>
      <w:r w:rsidRPr="005F3296">
        <w:rPr>
          <w:sz w:val="24"/>
          <w:szCs w:val="24"/>
        </w:rPr>
        <w:t xml:space="preserve"> </w:t>
      </w:r>
    </w:p>
    <w:p w:rsidR="00C76EF4" w:rsidRPr="005F3296" w:rsidRDefault="00C76EF4" w:rsidP="005F3296">
      <w:pPr>
        <w:autoSpaceDE w:val="0"/>
        <w:autoSpaceDN w:val="0"/>
        <w:adjustRightInd w:val="0"/>
        <w:spacing w:after="0" w:line="240" w:lineRule="auto"/>
        <w:jc w:val="both"/>
        <w:rPr>
          <w:sz w:val="24"/>
          <w:szCs w:val="24"/>
        </w:rPr>
      </w:pPr>
    </w:p>
    <w:p w:rsidR="004430C8" w:rsidRPr="003D313E" w:rsidRDefault="00F16430" w:rsidP="00C76EF4">
      <w:pPr>
        <w:autoSpaceDE w:val="0"/>
        <w:autoSpaceDN w:val="0"/>
        <w:adjustRightInd w:val="0"/>
        <w:spacing w:after="0" w:line="240" w:lineRule="auto"/>
        <w:jc w:val="both"/>
        <w:rPr>
          <w:sz w:val="24"/>
          <w:szCs w:val="24"/>
        </w:rPr>
      </w:pPr>
      <w:r>
        <w:rPr>
          <w:sz w:val="24"/>
          <w:szCs w:val="24"/>
        </w:rPr>
        <w:t>El gasto en</w:t>
      </w:r>
      <w:r w:rsidR="005F3296" w:rsidRPr="005F3296">
        <w:rPr>
          <w:sz w:val="24"/>
          <w:szCs w:val="24"/>
        </w:rPr>
        <w:t xml:space="preserve"> intereses</w:t>
      </w:r>
      <w:r>
        <w:rPr>
          <w:sz w:val="24"/>
          <w:szCs w:val="24"/>
        </w:rPr>
        <w:t xml:space="preserve"> de la deuda creció</w:t>
      </w:r>
      <w:r w:rsidR="005F3296" w:rsidRPr="005F3296">
        <w:rPr>
          <w:sz w:val="24"/>
          <w:szCs w:val="24"/>
        </w:rPr>
        <w:t xml:space="preserve"> con respecto a un año atrás en un</w:t>
      </w:r>
      <w:r>
        <w:rPr>
          <w:sz w:val="24"/>
          <w:szCs w:val="24"/>
        </w:rPr>
        <w:t xml:space="preserve"> 102,7</w:t>
      </w:r>
      <w:r w:rsidR="00C76EF4">
        <w:rPr>
          <w:sz w:val="24"/>
          <w:szCs w:val="24"/>
        </w:rPr>
        <w:t>% para ser de $ 222.639,6 millones para el período enero-mayo de</w:t>
      </w:r>
      <w:r w:rsidR="005F3296" w:rsidRPr="005F3296">
        <w:rPr>
          <w:sz w:val="24"/>
          <w:szCs w:val="24"/>
        </w:rPr>
        <w:t xml:space="preserve"> 2019.</w:t>
      </w:r>
      <w:r>
        <w:rPr>
          <w:sz w:val="24"/>
          <w:szCs w:val="24"/>
        </w:rPr>
        <w:t xml:space="preserve"> Y</w:t>
      </w:r>
      <w:r w:rsidR="00C76EF4">
        <w:rPr>
          <w:sz w:val="24"/>
          <w:szCs w:val="24"/>
        </w:rPr>
        <w:t xml:space="preserve"> resaltan que e</w:t>
      </w:r>
      <w:r w:rsidR="004430C8" w:rsidRPr="004430C8">
        <w:rPr>
          <w:sz w:val="24"/>
          <w:szCs w:val="24"/>
        </w:rPr>
        <w:t>n el período analizado la Administración Pública Nacional registró un</w:t>
      </w:r>
      <w:r w:rsidR="00C76EF4">
        <w:rPr>
          <w:sz w:val="24"/>
          <w:szCs w:val="24"/>
        </w:rPr>
        <w:t xml:space="preserve"> </w:t>
      </w:r>
      <w:r w:rsidR="004430C8" w:rsidRPr="004430C8">
        <w:rPr>
          <w:sz w:val="24"/>
          <w:szCs w:val="24"/>
        </w:rPr>
        <w:t>resultado primario</w:t>
      </w:r>
      <w:r w:rsidR="00C76EF4">
        <w:rPr>
          <w:sz w:val="24"/>
          <w:szCs w:val="24"/>
        </w:rPr>
        <w:t xml:space="preserve"> superavitario</w:t>
      </w:r>
      <w:r w:rsidR="004430C8" w:rsidRPr="004430C8">
        <w:rPr>
          <w:sz w:val="24"/>
          <w:szCs w:val="24"/>
        </w:rPr>
        <w:t xml:space="preserve"> de $56.155,6 millon</w:t>
      </w:r>
      <w:r w:rsidR="00C76EF4">
        <w:rPr>
          <w:sz w:val="24"/>
          <w:szCs w:val="24"/>
        </w:rPr>
        <w:t>es, pero ante el pago de los intereses de la deuda da como resultado final un déficit financiero de $ 166.584 millones</w:t>
      </w:r>
    </w:p>
    <w:p w:rsidR="00067F59" w:rsidRDefault="00067F59" w:rsidP="00C76EF4">
      <w:pPr>
        <w:autoSpaceDE w:val="0"/>
        <w:autoSpaceDN w:val="0"/>
        <w:adjustRightInd w:val="0"/>
        <w:spacing w:after="0" w:line="240" w:lineRule="auto"/>
        <w:jc w:val="both"/>
        <w:rPr>
          <w:sz w:val="24"/>
          <w:szCs w:val="24"/>
        </w:rPr>
      </w:pPr>
    </w:p>
    <w:p w:rsidR="004430C8" w:rsidRDefault="004430C8" w:rsidP="00067F59">
      <w:pPr>
        <w:spacing w:line="240" w:lineRule="auto"/>
        <w:jc w:val="both"/>
        <w:rPr>
          <w:sz w:val="24"/>
          <w:szCs w:val="24"/>
        </w:rPr>
      </w:pPr>
      <w:r>
        <w:rPr>
          <w:noProof/>
          <w:sz w:val="24"/>
          <w:szCs w:val="24"/>
          <w:lang w:eastAsia="es-AR"/>
        </w:rPr>
        <w:drawing>
          <wp:inline distT="0" distB="0" distL="0" distR="0">
            <wp:extent cx="5579745" cy="236283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79745" cy="2362835"/>
                    </a:xfrm>
                    <a:prstGeom prst="rect">
                      <a:avLst/>
                    </a:prstGeom>
                  </pic:spPr>
                </pic:pic>
              </a:graphicData>
            </a:graphic>
          </wp:inline>
        </w:drawing>
      </w:r>
    </w:p>
    <w:p w:rsidR="00D873CA" w:rsidRDefault="00AE7673" w:rsidP="00067F59">
      <w:pPr>
        <w:spacing w:line="240" w:lineRule="auto"/>
        <w:jc w:val="both"/>
        <w:rPr>
          <w:sz w:val="24"/>
          <w:szCs w:val="24"/>
        </w:rPr>
      </w:pPr>
      <w:r>
        <w:rPr>
          <w:sz w:val="24"/>
          <w:szCs w:val="24"/>
        </w:rPr>
        <w:t>En el mismo sentido desagregan en los principales gastos de la Administración Nacional</w:t>
      </w:r>
      <w:r w:rsidR="00F16430">
        <w:rPr>
          <w:sz w:val="24"/>
          <w:szCs w:val="24"/>
        </w:rPr>
        <w:t>, tanto por Inciso u objeto, como finalidad y f</w:t>
      </w:r>
      <w:r w:rsidR="00954664">
        <w:rPr>
          <w:sz w:val="24"/>
          <w:szCs w:val="24"/>
        </w:rPr>
        <w:t xml:space="preserve">unción, pero, repetimos, la </w:t>
      </w:r>
      <w:r w:rsidR="00F16430">
        <w:rPr>
          <w:sz w:val="24"/>
          <w:szCs w:val="24"/>
        </w:rPr>
        <w:t>ejecución del gasto esta aumentada por el proceso inflacionario, pero si uno observa el gasto en capital, vemos que existe una sub ejecución importante.</w:t>
      </w:r>
    </w:p>
    <w:p w:rsidR="00F16430" w:rsidRDefault="00F16430" w:rsidP="00067F59">
      <w:pPr>
        <w:spacing w:line="240" w:lineRule="auto"/>
        <w:jc w:val="both"/>
        <w:rPr>
          <w:sz w:val="24"/>
          <w:szCs w:val="24"/>
        </w:rPr>
      </w:pPr>
      <w:r>
        <w:rPr>
          <w:sz w:val="24"/>
          <w:szCs w:val="24"/>
        </w:rPr>
        <w:t xml:space="preserve">En efecto, el </w:t>
      </w:r>
      <w:r w:rsidR="00B96242">
        <w:rPr>
          <w:sz w:val="24"/>
          <w:szCs w:val="24"/>
        </w:rPr>
        <w:t>Gasto de Capital t</w:t>
      </w:r>
      <w:r>
        <w:rPr>
          <w:sz w:val="24"/>
          <w:szCs w:val="24"/>
        </w:rPr>
        <w:t xml:space="preserve">otal al 31 de mayo de 2019 es de $ 63.916,6 millones, suma que es menor que la ejecutada en igual lapso en el año 2018 a valores corrientes en un 12,6% menos.  Y es significativamente menor </w:t>
      </w:r>
      <w:r w:rsidR="00B96242">
        <w:rPr>
          <w:sz w:val="24"/>
          <w:szCs w:val="24"/>
        </w:rPr>
        <w:t>en las transferencias de partida a las provincias y municipios (Energía, Vivienda, Educación, Salud)</w:t>
      </w:r>
      <w:r w:rsidR="00390831">
        <w:rPr>
          <w:rStyle w:val="Refdenotaalpie"/>
          <w:sz w:val="24"/>
          <w:szCs w:val="24"/>
        </w:rPr>
        <w:footnoteReference w:id="1"/>
      </w:r>
      <w:r w:rsidR="00B96242">
        <w:rPr>
          <w:sz w:val="24"/>
          <w:szCs w:val="24"/>
        </w:rPr>
        <w:t xml:space="preserve"> y demás transferencias de capital.</w:t>
      </w:r>
    </w:p>
    <w:p w:rsidR="00954664" w:rsidRDefault="00954664" w:rsidP="00067F59">
      <w:pPr>
        <w:spacing w:line="240" w:lineRule="auto"/>
        <w:jc w:val="both"/>
        <w:rPr>
          <w:sz w:val="24"/>
          <w:szCs w:val="24"/>
        </w:rPr>
      </w:pPr>
      <w:r>
        <w:rPr>
          <w:sz w:val="24"/>
          <w:szCs w:val="24"/>
        </w:rPr>
        <w:t>Por ende, al revés de la presentación del gasto ejecutado en el Mensaje 15/2019 del gobierno nacional de Cambiemos, que solo indica que debieron cumplir con los llamados gastos rígidos (previsionales, remuneraciones, etc.) y si demuestra que donde debe invertir un gobierno como es la obra pública y las transferencias de capital en servicios esenciales a la población, el monto ejecutado es 3,5 veces menor que lo que se pagó de intereses en el período (Gasto de Capital ejecutado de $ 63.916,6 millones, contra el pago de intereses y otras rentas de la propiedad de $ 222.805,7 millones)</w:t>
      </w:r>
    </w:p>
    <w:p w:rsidR="00F16430" w:rsidRDefault="00F16430" w:rsidP="00067F59">
      <w:pPr>
        <w:spacing w:line="240" w:lineRule="auto"/>
        <w:jc w:val="both"/>
        <w:rPr>
          <w:sz w:val="24"/>
          <w:szCs w:val="24"/>
        </w:rPr>
      </w:pPr>
      <w:r>
        <w:rPr>
          <w:noProof/>
          <w:sz w:val="24"/>
          <w:szCs w:val="24"/>
          <w:lang w:eastAsia="es-AR"/>
        </w:rPr>
        <w:lastRenderedPageBreak/>
        <w:drawing>
          <wp:inline distT="0" distB="0" distL="0" distR="0">
            <wp:extent cx="5579745" cy="434467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79745" cy="4344670"/>
                    </a:xfrm>
                    <a:prstGeom prst="rect">
                      <a:avLst/>
                    </a:prstGeom>
                  </pic:spPr>
                </pic:pic>
              </a:graphicData>
            </a:graphic>
          </wp:inline>
        </w:drawing>
      </w:r>
    </w:p>
    <w:p w:rsidR="00390831" w:rsidRDefault="00390831" w:rsidP="00067F59">
      <w:pPr>
        <w:spacing w:line="240" w:lineRule="auto"/>
        <w:jc w:val="both"/>
        <w:rPr>
          <w:sz w:val="24"/>
          <w:szCs w:val="24"/>
        </w:rPr>
      </w:pPr>
    </w:p>
    <w:p w:rsidR="00390831" w:rsidRDefault="002448D8" w:rsidP="002448D8">
      <w:pPr>
        <w:autoSpaceDE w:val="0"/>
        <w:autoSpaceDN w:val="0"/>
        <w:adjustRightInd w:val="0"/>
        <w:spacing w:after="0" w:line="240" w:lineRule="auto"/>
        <w:jc w:val="both"/>
        <w:rPr>
          <w:b/>
          <w:sz w:val="24"/>
          <w:szCs w:val="24"/>
        </w:rPr>
      </w:pPr>
      <w:r w:rsidRPr="002448D8">
        <w:rPr>
          <w:b/>
          <w:sz w:val="24"/>
          <w:szCs w:val="24"/>
        </w:rPr>
        <w:t>EL CONTEXTO MACROECONÓMICO Y LA POLÍTICA ECONÓMICA</w:t>
      </w:r>
    </w:p>
    <w:p w:rsidR="002448D8" w:rsidRDefault="002448D8" w:rsidP="002448D8">
      <w:pPr>
        <w:autoSpaceDE w:val="0"/>
        <w:autoSpaceDN w:val="0"/>
        <w:adjustRightInd w:val="0"/>
        <w:spacing w:after="0" w:line="240" w:lineRule="auto"/>
        <w:jc w:val="both"/>
        <w:rPr>
          <w:b/>
          <w:sz w:val="24"/>
          <w:szCs w:val="24"/>
        </w:rPr>
      </w:pPr>
    </w:p>
    <w:p w:rsidR="004E1DFF" w:rsidRDefault="007A4125" w:rsidP="004E1DFF">
      <w:pPr>
        <w:autoSpaceDE w:val="0"/>
        <w:autoSpaceDN w:val="0"/>
        <w:adjustRightInd w:val="0"/>
        <w:spacing w:after="0" w:line="240" w:lineRule="auto"/>
        <w:jc w:val="both"/>
        <w:rPr>
          <w:rFonts w:cstheme="minorHAnsi"/>
          <w:sz w:val="24"/>
          <w:szCs w:val="24"/>
        </w:rPr>
      </w:pPr>
      <w:r w:rsidRPr="007A4125">
        <w:rPr>
          <w:sz w:val="24"/>
          <w:szCs w:val="24"/>
        </w:rPr>
        <w:t xml:space="preserve">Hacen </w:t>
      </w:r>
      <w:r>
        <w:rPr>
          <w:sz w:val="24"/>
          <w:szCs w:val="24"/>
        </w:rPr>
        <w:t xml:space="preserve">toda una reseña de los logros que realizaron en sus tres años y medio de gestión, con la sarta de mentiras que sostienen a diario, </w:t>
      </w:r>
      <w:r w:rsidR="004E1DFF">
        <w:rPr>
          <w:sz w:val="24"/>
          <w:szCs w:val="24"/>
        </w:rPr>
        <w:t>por ejemplo, en el caso de la industria dicen: “</w:t>
      </w:r>
      <w:r w:rsidR="004E1DFF" w:rsidRPr="004E1DFF">
        <w:rPr>
          <w:i/>
          <w:sz w:val="24"/>
          <w:szCs w:val="24"/>
        </w:rPr>
        <w:t>En lo que va de 2019 el desempeño del sector industrial muestra una leve recuperación, registrando un crecimiento desestacionalizado de 1,3% en el primer trimestre y de 2,3% mensual en abril</w:t>
      </w:r>
      <w:r w:rsidR="004E1DFF" w:rsidRPr="004E1DFF">
        <w:rPr>
          <w:rFonts w:ascii="Arial" w:hAnsi="Arial" w:cs="Arial"/>
          <w:b/>
          <w:bCs/>
          <w:i/>
          <w:sz w:val="24"/>
          <w:szCs w:val="24"/>
        </w:rPr>
        <w:t xml:space="preserve">. </w:t>
      </w:r>
      <w:r w:rsidR="004E1DFF" w:rsidRPr="004E1DFF">
        <w:rPr>
          <w:rFonts w:cstheme="minorHAnsi"/>
          <w:i/>
          <w:sz w:val="24"/>
          <w:szCs w:val="24"/>
        </w:rPr>
        <w:t>De este modo, se redujo la caída interanual desde un 11,3% en el trimestre a 8,8% en el mes de abril</w:t>
      </w:r>
      <w:r w:rsidR="004E1DFF">
        <w:rPr>
          <w:rFonts w:cstheme="minorHAnsi"/>
          <w:sz w:val="24"/>
          <w:szCs w:val="24"/>
        </w:rPr>
        <w:t>”</w:t>
      </w:r>
      <w:r w:rsidR="004E1DFF" w:rsidRPr="004E1DFF">
        <w:rPr>
          <w:rFonts w:cstheme="minorHAnsi"/>
          <w:sz w:val="24"/>
          <w:szCs w:val="24"/>
        </w:rPr>
        <w:t>.</w:t>
      </w:r>
    </w:p>
    <w:p w:rsidR="003E6C01" w:rsidRDefault="003E6C01" w:rsidP="004E1DFF">
      <w:pPr>
        <w:autoSpaceDE w:val="0"/>
        <w:autoSpaceDN w:val="0"/>
        <w:adjustRightInd w:val="0"/>
        <w:spacing w:after="0" w:line="240" w:lineRule="auto"/>
        <w:jc w:val="both"/>
        <w:rPr>
          <w:rFonts w:cstheme="minorHAnsi"/>
          <w:sz w:val="24"/>
          <w:szCs w:val="24"/>
        </w:rPr>
      </w:pPr>
    </w:p>
    <w:p w:rsidR="003E6C01" w:rsidRPr="003E6C01" w:rsidRDefault="00846967" w:rsidP="003E6C01">
      <w:pPr>
        <w:autoSpaceDE w:val="0"/>
        <w:autoSpaceDN w:val="0"/>
        <w:adjustRightInd w:val="0"/>
        <w:spacing w:after="0" w:line="240" w:lineRule="auto"/>
        <w:jc w:val="both"/>
        <w:rPr>
          <w:i/>
          <w:sz w:val="24"/>
          <w:szCs w:val="24"/>
        </w:rPr>
      </w:pPr>
      <w:r>
        <w:rPr>
          <w:rFonts w:cstheme="minorHAnsi"/>
          <w:sz w:val="24"/>
          <w:szCs w:val="24"/>
        </w:rPr>
        <w:t>Igual postura tiene</w:t>
      </w:r>
      <w:r w:rsidR="003E6C01">
        <w:rPr>
          <w:rFonts w:cstheme="minorHAnsi"/>
          <w:sz w:val="24"/>
          <w:szCs w:val="24"/>
        </w:rPr>
        <w:t xml:space="preserve"> con respecto a la construcción donde afirman: “</w:t>
      </w:r>
      <w:r w:rsidR="003E6C01" w:rsidRPr="003E6C01">
        <w:rPr>
          <w:i/>
          <w:sz w:val="24"/>
          <w:szCs w:val="24"/>
        </w:rPr>
        <w:t>Pese a que en el primer trimestre de</w:t>
      </w:r>
      <w:r w:rsidR="003E6C01">
        <w:rPr>
          <w:i/>
          <w:sz w:val="24"/>
          <w:szCs w:val="24"/>
        </w:rPr>
        <w:t xml:space="preserve"> 2019 la caída interanual en el </w:t>
      </w:r>
      <w:r w:rsidR="003E6C01" w:rsidRPr="003E6C01">
        <w:rPr>
          <w:i/>
          <w:sz w:val="24"/>
          <w:szCs w:val="24"/>
        </w:rPr>
        <w:t>sector de la construcción se mantiene en 11,3%</w:t>
      </w:r>
      <w:r w:rsidR="003E6C01">
        <w:rPr>
          <w:i/>
          <w:sz w:val="24"/>
          <w:szCs w:val="24"/>
        </w:rPr>
        <w:t xml:space="preserve">según el ISAC, el dato de abril </w:t>
      </w:r>
      <w:r w:rsidR="003E6C01" w:rsidRPr="003E6C01">
        <w:rPr>
          <w:i/>
          <w:sz w:val="24"/>
          <w:szCs w:val="24"/>
        </w:rPr>
        <w:t>reporta una desaceleración de la caída a 7,5%</w:t>
      </w:r>
      <w:r w:rsidR="003E6C01">
        <w:rPr>
          <w:i/>
          <w:sz w:val="24"/>
          <w:szCs w:val="24"/>
        </w:rPr>
        <w:t>”</w:t>
      </w:r>
    </w:p>
    <w:p w:rsidR="004E1DFF" w:rsidRDefault="004E1DFF" w:rsidP="004E1DFF">
      <w:pPr>
        <w:autoSpaceDE w:val="0"/>
        <w:autoSpaceDN w:val="0"/>
        <w:adjustRightInd w:val="0"/>
        <w:spacing w:after="0" w:line="240" w:lineRule="auto"/>
        <w:jc w:val="both"/>
        <w:rPr>
          <w:rFonts w:ascii="Arial" w:hAnsi="Arial" w:cs="Arial"/>
          <w:sz w:val="24"/>
          <w:szCs w:val="24"/>
        </w:rPr>
      </w:pPr>
    </w:p>
    <w:p w:rsidR="002448D8" w:rsidRDefault="004E1DFF" w:rsidP="004E1DFF">
      <w:pPr>
        <w:autoSpaceDE w:val="0"/>
        <w:autoSpaceDN w:val="0"/>
        <w:adjustRightInd w:val="0"/>
        <w:spacing w:after="0" w:line="240" w:lineRule="auto"/>
        <w:jc w:val="both"/>
        <w:rPr>
          <w:sz w:val="24"/>
          <w:szCs w:val="24"/>
        </w:rPr>
      </w:pPr>
      <w:r>
        <w:rPr>
          <w:sz w:val="24"/>
          <w:szCs w:val="24"/>
        </w:rPr>
        <w:t>S</w:t>
      </w:r>
      <w:r w:rsidR="007A4125">
        <w:rPr>
          <w:sz w:val="24"/>
          <w:szCs w:val="24"/>
        </w:rPr>
        <w:t>i es cierto la recuperación agrícola que ellos</w:t>
      </w:r>
      <w:r>
        <w:rPr>
          <w:sz w:val="24"/>
          <w:szCs w:val="24"/>
        </w:rPr>
        <w:t xml:space="preserve"> estiman que, tras la sequía del año 2018, se recupera, según el EMAE en un 8% y </w:t>
      </w:r>
      <w:r w:rsidRPr="004E1DFF">
        <w:rPr>
          <w:sz w:val="24"/>
          <w:szCs w:val="24"/>
        </w:rPr>
        <w:t>para la campaña agrícola 2018/19 se</w:t>
      </w:r>
      <w:r>
        <w:rPr>
          <w:sz w:val="24"/>
          <w:szCs w:val="24"/>
        </w:rPr>
        <w:t xml:space="preserve"> </w:t>
      </w:r>
      <w:r w:rsidRPr="004E1DFF">
        <w:rPr>
          <w:sz w:val="24"/>
          <w:szCs w:val="24"/>
        </w:rPr>
        <w:t>espera una cosecha récord, superior a 14</w:t>
      </w:r>
      <w:r>
        <w:rPr>
          <w:sz w:val="24"/>
          <w:szCs w:val="24"/>
        </w:rPr>
        <w:t xml:space="preserve">5 millones de toneladas, con un </w:t>
      </w:r>
      <w:r w:rsidRPr="004E1DFF">
        <w:rPr>
          <w:sz w:val="24"/>
          <w:szCs w:val="24"/>
        </w:rPr>
        <w:t xml:space="preserve">crecimiento en torno al 30% respecto a la cosecha </w:t>
      </w:r>
      <w:r>
        <w:rPr>
          <w:sz w:val="24"/>
          <w:szCs w:val="24"/>
        </w:rPr>
        <w:t xml:space="preserve">anterior. La producción de soja </w:t>
      </w:r>
      <w:r w:rsidRPr="004E1DFF">
        <w:rPr>
          <w:sz w:val="24"/>
          <w:szCs w:val="24"/>
        </w:rPr>
        <w:t>alcanzaría los 55,9 millones de toneladas (48% más q</w:t>
      </w:r>
      <w:r>
        <w:rPr>
          <w:sz w:val="24"/>
          <w:szCs w:val="24"/>
        </w:rPr>
        <w:t xml:space="preserve">ue la campaña anterior) y la de </w:t>
      </w:r>
      <w:r w:rsidRPr="004E1DFF">
        <w:rPr>
          <w:sz w:val="24"/>
          <w:szCs w:val="24"/>
        </w:rPr>
        <w:t>maíz crecería 52%, alcanzando los 48 millones de tone</w:t>
      </w:r>
      <w:r>
        <w:rPr>
          <w:sz w:val="24"/>
          <w:szCs w:val="24"/>
        </w:rPr>
        <w:t>ladas. En cuanto al trigo, para l</w:t>
      </w:r>
      <w:r w:rsidRPr="004E1DFF">
        <w:rPr>
          <w:sz w:val="24"/>
          <w:szCs w:val="24"/>
        </w:rPr>
        <w:t>a cosecha 2019/20 las proyecciones indi</w:t>
      </w:r>
      <w:r>
        <w:rPr>
          <w:sz w:val="24"/>
          <w:szCs w:val="24"/>
        </w:rPr>
        <w:t xml:space="preserve">can un aumento del 10% del área </w:t>
      </w:r>
      <w:r w:rsidRPr="004E1DFF">
        <w:rPr>
          <w:sz w:val="24"/>
          <w:szCs w:val="24"/>
        </w:rPr>
        <w:t>sembrada, consistente con una cosecha récord de 20 millones de toneladas.</w:t>
      </w:r>
    </w:p>
    <w:p w:rsidR="004E1DFF" w:rsidRDefault="004E1DFF" w:rsidP="004E1DFF">
      <w:pPr>
        <w:autoSpaceDE w:val="0"/>
        <w:autoSpaceDN w:val="0"/>
        <w:adjustRightInd w:val="0"/>
        <w:spacing w:after="0" w:line="240" w:lineRule="auto"/>
        <w:jc w:val="both"/>
        <w:rPr>
          <w:sz w:val="24"/>
          <w:szCs w:val="24"/>
        </w:rPr>
      </w:pPr>
    </w:p>
    <w:p w:rsidR="004E1DFF" w:rsidRDefault="003E6C01" w:rsidP="003D2E88">
      <w:pPr>
        <w:autoSpaceDE w:val="0"/>
        <w:autoSpaceDN w:val="0"/>
        <w:adjustRightInd w:val="0"/>
        <w:spacing w:after="0" w:line="240" w:lineRule="auto"/>
        <w:jc w:val="both"/>
        <w:rPr>
          <w:sz w:val="24"/>
          <w:szCs w:val="24"/>
        </w:rPr>
      </w:pPr>
      <w:r>
        <w:rPr>
          <w:sz w:val="24"/>
          <w:szCs w:val="24"/>
        </w:rPr>
        <w:lastRenderedPageBreak/>
        <w:t xml:space="preserve">Y en base a ese pobre análisis estiman que </w:t>
      </w:r>
      <w:r w:rsidR="003D2E88">
        <w:rPr>
          <w:sz w:val="24"/>
          <w:szCs w:val="24"/>
        </w:rPr>
        <w:t xml:space="preserve">proyectan para el año 2020 un crecimiento del PIB del 3,5% anual, y dicen que la </w:t>
      </w:r>
      <w:r w:rsidR="003D2E88" w:rsidRPr="003D2E88">
        <w:rPr>
          <w:sz w:val="24"/>
          <w:szCs w:val="24"/>
        </w:rPr>
        <w:t>expansión será liderada por la inversión y por el buen</w:t>
      </w:r>
      <w:r w:rsidR="003D2E88">
        <w:rPr>
          <w:sz w:val="24"/>
          <w:szCs w:val="24"/>
        </w:rPr>
        <w:t xml:space="preserve"> </w:t>
      </w:r>
      <w:r w:rsidR="003D2E88" w:rsidRPr="003D2E88">
        <w:rPr>
          <w:sz w:val="24"/>
          <w:szCs w:val="24"/>
        </w:rPr>
        <w:t>desempeño que continuarán mostrando las exporta</w:t>
      </w:r>
      <w:r w:rsidR="003D2E88">
        <w:rPr>
          <w:sz w:val="24"/>
          <w:szCs w:val="24"/>
        </w:rPr>
        <w:t xml:space="preserve">ciones, y que también jugará un </w:t>
      </w:r>
      <w:r w:rsidR="003D2E88" w:rsidRPr="003D2E88">
        <w:rPr>
          <w:sz w:val="24"/>
          <w:szCs w:val="24"/>
        </w:rPr>
        <w:t>papel importante la recuperación del consumo priva</w:t>
      </w:r>
      <w:r w:rsidR="003D2E88">
        <w:rPr>
          <w:sz w:val="24"/>
          <w:szCs w:val="24"/>
        </w:rPr>
        <w:t xml:space="preserve">do. Esta dinámica positiva será </w:t>
      </w:r>
      <w:r w:rsidR="003D2E88" w:rsidRPr="003D2E88">
        <w:rPr>
          <w:sz w:val="24"/>
          <w:szCs w:val="24"/>
        </w:rPr>
        <w:t>parcialmente compensada por la recuperació</w:t>
      </w:r>
      <w:r w:rsidR="003D2E88">
        <w:rPr>
          <w:sz w:val="24"/>
          <w:szCs w:val="24"/>
        </w:rPr>
        <w:t xml:space="preserve">n de las importaciones y por la </w:t>
      </w:r>
      <w:r w:rsidR="003D2E88" w:rsidRPr="003D2E88">
        <w:rPr>
          <w:sz w:val="24"/>
          <w:szCs w:val="24"/>
        </w:rPr>
        <w:t>reducción del consumo público previsto para alcanzar el superávit primario.</w:t>
      </w:r>
    </w:p>
    <w:p w:rsidR="00D16250" w:rsidRDefault="00D16250" w:rsidP="003D2E88">
      <w:pPr>
        <w:autoSpaceDE w:val="0"/>
        <w:autoSpaceDN w:val="0"/>
        <w:adjustRightInd w:val="0"/>
        <w:spacing w:after="0" w:line="240" w:lineRule="auto"/>
        <w:jc w:val="both"/>
        <w:rPr>
          <w:sz w:val="24"/>
          <w:szCs w:val="24"/>
        </w:rPr>
      </w:pPr>
    </w:p>
    <w:p w:rsidR="00D16250" w:rsidRDefault="00D16250" w:rsidP="00D16250">
      <w:pPr>
        <w:autoSpaceDE w:val="0"/>
        <w:autoSpaceDN w:val="0"/>
        <w:adjustRightInd w:val="0"/>
        <w:spacing w:after="0" w:line="240" w:lineRule="auto"/>
        <w:jc w:val="both"/>
        <w:rPr>
          <w:sz w:val="24"/>
          <w:szCs w:val="24"/>
        </w:rPr>
      </w:pPr>
      <w:r>
        <w:rPr>
          <w:sz w:val="24"/>
          <w:szCs w:val="24"/>
        </w:rPr>
        <w:t>Afirman que l</w:t>
      </w:r>
      <w:r w:rsidRPr="00D16250">
        <w:rPr>
          <w:sz w:val="24"/>
          <w:szCs w:val="24"/>
        </w:rPr>
        <w:t>os salarios reales comenz</w:t>
      </w:r>
      <w:r>
        <w:rPr>
          <w:sz w:val="24"/>
          <w:szCs w:val="24"/>
        </w:rPr>
        <w:t xml:space="preserve">aron a recuperarse en el primer </w:t>
      </w:r>
      <w:r w:rsidRPr="00D16250">
        <w:rPr>
          <w:sz w:val="24"/>
          <w:szCs w:val="24"/>
        </w:rPr>
        <w:t xml:space="preserve">trimestre de 2019. </w:t>
      </w:r>
      <w:r w:rsidR="00CE5CBD">
        <w:rPr>
          <w:sz w:val="24"/>
          <w:szCs w:val="24"/>
        </w:rPr>
        <w:t>Y que la</w:t>
      </w:r>
      <w:r w:rsidRPr="00D16250">
        <w:rPr>
          <w:sz w:val="24"/>
          <w:szCs w:val="24"/>
        </w:rPr>
        <w:t xml:space="preserve"> Remuneración Promedio Imponible </w:t>
      </w:r>
      <w:r w:rsidR="00CE5CBD">
        <w:rPr>
          <w:sz w:val="24"/>
          <w:szCs w:val="24"/>
        </w:rPr>
        <w:t xml:space="preserve">de los Trabajadores </w:t>
      </w:r>
      <w:r w:rsidRPr="00D16250">
        <w:rPr>
          <w:sz w:val="24"/>
          <w:szCs w:val="24"/>
        </w:rPr>
        <w:t>Estables (RIPTE) aumentó 34,6% interanual en el pri</w:t>
      </w:r>
      <w:r w:rsidR="00CE5CBD">
        <w:rPr>
          <w:sz w:val="24"/>
          <w:szCs w:val="24"/>
        </w:rPr>
        <w:t xml:space="preserve">mer trimestre del año y a marzo </w:t>
      </w:r>
      <w:r w:rsidRPr="00D16250">
        <w:rPr>
          <w:sz w:val="24"/>
          <w:szCs w:val="24"/>
        </w:rPr>
        <w:t>de 2019 acumula tres meses consecutivos de increm</w:t>
      </w:r>
      <w:r w:rsidR="00CE5CBD">
        <w:rPr>
          <w:sz w:val="24"/>
          <w:szCs w:val="24"/>
        </w:rPr>
        <w:t xml:space="preserve">entos reales. Esta recuperación </w:t>
      </w:r>
      <w:r w:rsidRPr="00D16250">
        <w:rPr>
          <w:sz w:val="24"/>
          <w:szCs w:val="24"/>
        </w:rPr>
        <w:t>se encadena con los acuerdos salariales pactados para 2019, que o</w:t>
      </w:r>
      <w:r w:rsidR="00CE5CBD">
        <w:rPr>
          <w:sz w:val="24"/>
          <w:szCs w:val="24"/>
        </w:rPr>
        <w:t xml:space="preserve">scilan entre 28% </w:t>
      </w:r>
      <w:r w:rsidRPr="00D16250">
        <w:rPr>
          <w:sz w:val="24"/>
          <w:szCs w:val="24"/>
        </w:rPr>
        <w:t>y 32%, en cuotas y con cláusulas de revisión o clá</w:t>
      </w:r>
      <w:r w:rsidR="00CE5CBD">
        <w:rPr>
          <w:sz w:val="24"/>
          <w:szCs w:val="24"/>
        </w:rPr>
        <w:t xml:space="preserve">usulas gatillo en función de la </w:t>
      </w:r>
      <w:r w:rsidRPr="00D16250">
        <w:rPr>
          <w:sz w:val="24"/>
          <w:szCs w:val="24"/>
        </w:rPr>
        <w:t>evolución de la inflación.</w:t>
      </w:r>
    </w:p>
    <w:p w:rsidR="00846967" w:rsidRDefault="00846967" w:rsidP="00D16250">
      <w:pPr>
        <w:autoSpaceDE w:val="0"/>
        <w:autoSpaceDN w:val="0"/>
        <w:adjustRightInd w:val="0"/>
        <w:spacing w:after="0" w:line="240" w:lineRule="auto"/>
        <w:jc w:val="both"/>
        <w:rPr>
          <w:sz w:val="24"/>
          <w:szCs w:val="24"/>
        </w:rPr>
      </w:pPr>
    </w:p>
    <w:p w:rsidR="00846967" w:rsidRDefault="00846967" w:rsidP="00D16250">
      <w:pPr>
        <w:autoSpaceDE w:val="0"/>
        <w:autoSpaceDN w:val="0"/>
        <w:adjustRightInd w:val="0"/>
        <w:spacing w:after="0" w:line="240" w:lineRule="auto"/>
        <w:jc w:val="both"/>
        <w:rPr>
          <w:b/>
          <w:sz w:val="24"/>
          <w:szCs w:val="24"/>
        </w:rPr>
      </w:pPr>
      <w:r w:rsidRPr="00846967">
        <w:rPr>
          <w:b/>
          <w:sz w:val="24"/>
          <w:szCs w:val="24"/>
        </w:rPr>
        <w:t>INFLACION</w:t>
      </w:r>
    </w:p>
    <w:p w:rsidR="00846967" w:rsidRDefault="00846967" w:rsidP="00D16250">
      <w:pPr>
        <w:autoSpaceDE w:val="0"/>
        <w:autoSpaceDN w:val="0"/>
        <w:adjustRightInd w:val="0"/>
        <w:spacing w:after="0" w:line="240" w:lineRule="auto"/>
        <w:jc w:val="both"/>
        <w:rPr>
          <w:b/>
          <w:sz w:val="24"/>
          <w:szCs w:val="24"/>
        </w:rPr>
      </w:pPr>
    </w:p>
    <w:p w:rsidR="00846967" w:rsidRDefault="00846967" w:rsidP="00846967">
      <w:pPr>
        <w:autoSpaceDE w:val="0"/>
        <w:autoSpaceDN w:val="0"/>
        <w:adjustRightInd w:val="0"/>
        <w:spacing w:after="0" w:line="240" w:lineRule="auto"/>
        <w:jc w:val="both"/>
        <w:rPr>
          <w:sz w:val="24"/>
          <w:szCs w:val="24"/>
        </w:rPr>
      </w:pPr>
      <w:r w:rsidRPr="00846967">
        <w:rPr>
          <w:sz w:val="24"/>
          <w:szCs w:val="24"/>
        </w:rPr>
        <w:t>Para 2019 se espera que la inflación arroje un valor algo inferior a</w:t>
      </w:r>
      <w:r>
        <w:rPr>
          <w:sz w:val="24"/>
          <w:szCs w:val="24"/>
        </w:rPr>
        <w:t xml:space="preserve"> </w:t>
      </w:r>
      <w:r w:rsidRPr="00846967">
        <w:rPr>
          <w:sz w:val="24"/>
          <w:szCs w:val="24"/>
        </w:rPr>
        <w:t>las expectativas del Relevamiento de Expectativas de Mercado (</w:t>
      </w:r>
      <w:r>
        <w:rPr>
          <w:sz w:val="24"/>
          <w:szCs w:val="24"/>
        </w:rPr>
        <w:t xml:space="preserve">REM) </w:t>
      </w:r>
      <w:r w:rsidRPr="00846967">
        <w:rPr>
          <w:sz w:val="24"/>
          <w:szCs w:val="24"/>
        </w:rPr>
        <w:t>elaborado por el BCRA, las cuales muestran un</w:t>
      </w:r>
      <w:r>
        <w:rPr>
          <w:sz w:val="24"/>
          <w:szCs w:val="24"/>
        </w:rPr>
        <w:t xml:space="preserve"> anclaje de las expectativas de </w:t>
      </w:r>
      <w:r w:rsidRPr="00846967">
        <w:rPr>
          <w:sz w:val="24"/>
          <w:szCs w:val="24"/>
        </w:rPr>
        <w:t xml:space="preserve">inflación para </w:t>
      </w:r>
      <w:r w:rsidRPr="00846967">
        <w:rPr>
          <w:b/>
          <w:sz w:val="24"/>
          <w:szCs w:val="24"/>
        </w:rPr>
        <w:t>diciembre de 2019 en 40,3%.</w:t>
      </w:r>
      <w:r w:rsidRPr="00846967">
        <w:rPr>
          <w:sz w:val="24"/>
          <w:szCs w:val="24"/>
        </w:rPr>
        <w:t xml:space="preserve"> En</w:t>
      </w:r>
      <w:r>
        <w:rPr>
          <w:sz w:val="24"/>
          <w:szCs w:val="24"/>
        </w:rPr>
        <w:t xml:space="preserve"> la dinámica mensual, se espera </w:t>
      </w:r>
      <w:r w:rsidRPr="00846967">
        <w:rPr>
          <w:sz w:val="24"/>
          <w:szCs w:val="24"/>
        </w:rPr>
        <w:t xml:space="preserve">una desaceleración hacia fin de año, llegando a </w:t>
      </w:r>
      <w:r>
        <w:rPr>
          <w:sz w:val="24"/>
          <w:szCs w:val="24"/>
        </w:rPr>
        <w:t xml:space="preserve">2,1% en noviembre. Prevén, sin justificar, </w:t>
      </w:r>
      <w:r w:rsidRPr="00846967">
        <w:rPr>
          <w:sz w:val="24"/>
          <w:szCs w:val="24"/>
        </w:rPr>
        <w:t>un sendero de desinflac</w:t>
      </w:r>
      <w:r>
        <w:rPr>
          <w:sz w:val="24"/>
          <w:szCs w:val="24"/>
        </w:rPr>
        <w:t xml:space="preserve">ión de cara a los próximos años </w:t>
      </w:r>
      <w:r w:rsidRPr="00846967">
        <w:rPr>
          <w:sz w:val="24"/>
          <w:szCs w:val="24"/>
        </w:rPr>
        <w:t xml:space="preserve">con expectativas de </w:t>
      </w:r>
      <w:r w:rsidRPr="00846967">
        <w:rPr>
          <w:b/>
          <w:sz w:val="24"/>
          <w:szCs w:val="24"/>
        </w:rPr>
        <w:t>26,1% en diciembre de 2020</w:t>
      </w:r>
      <w:r>
        <w:rPr>
          <w:sz w:val="24"/>
          <w:szCs w:val="24"/>
        </w:rPr>
        <w:t xml:space="preserve"> y 19,1% en diciembre 2021. En </w:t>
      </w:r>
      <w:r w:rsidRPr="00846967">
        <w:rPr>
          <w:sz w:val="24"/>
          <w:szCs w:val="24"/>
        </w:rPr>
        <w:t>relación a la inflación para los próximos 12 y 24 me</w:t>
      </w:r>
      <w:r>
        <w:rPr>
          <w:sz w:val="24"/>
          <w:szCs w:val="24"/>
        </w:rPr>
        <w:t xml:space="preserve">ses, las expectativas relevadas </w:t>
      </w:r>
      <w:r w:rsidRPr="00846967">
        <w:rPr>
          <w:sz w:val="24"/>
          <w:szCs w:val="24"/>
        </w:rPr>
        <w:t>por el REM esperan 31,0% y 22,6%, resp</w:t>
      </w:r>
      <w:r>
        <w:rPr>
          <w:sz w:val="24"/>
          <w:szCs w:val="24"/>
        </w:rPr>
        <w:t xml:space="preserve">ectivamente, mostrando la misma </w:t>
      </w:r>
      <w:r w:rsidRPr="00846967">
        <w:rPr>
          <w:sz w:val="24"/>
          <w:szCs w:val="24"/>
        </w:rPr>
        <w:t>tendencia que los indicadores mensuales</w:t>
      </w:r>
    </w:p>
    <w:p w:rsidR="00F04BF5" w:rsidRDefault="00F04BF5" w:rsidP="00846967">
      <w:pPr>
        <w:autoSpaceDE w:val="0"/>
        <w:autoSpaceDN w:val="0"/>
        <w:adjustRightInd w:val="0"/>
        <w:spacing w:after="0" w:line="240" w:lineRule="auto"/>
        <w:jc w:val="both"/>
        <w:rPr>
          <w:sz w:val="24"/>
          <w:szCs w:val="24"/>
        </w:rPr>
      </w:pPr>
    </w:p>
    <w:p w:rsidR="00F04BF5" w:rsidRDefault="00F04BF5" w:rsidP="00F04BF5">
      <w:pPr>
        <w:autoSpaceDE w:val="0"/>
        <w:autoSpaceDN w:val="0"/>
        <w:adjustRightInd w:val="0"/>
        <w:spacing w:after="0" w:line="240" w:lineRule="auto"/>
        <w:jc w:val="both"/>
        <w:rPr>
          <w:b/>
          <w:sz w:val="24"/>
          <w:szCs w:val="24"/>
        </w:rPr>
      </w:pPr>
      <w:r w:rsidRPr="00F04BF5">
        <w:rPr>
          <w:b/>
          <w:sz w:val="24"/>
          <w:szCs w:val="24"/>
        </w:rPr>
        <w:t>SECTOR EXTERNO</w:t>
      </w:r>
    </w:p>
    <w:p w:rsidR="00F04BF5" w:rsidRPr="00F04BF5" w:rsidRDefault="00F04BF5" w:rsidP="00F04BF5">
      <w:pPr>
        <w:autoSpaceDE w:val="0"/>
        <w:autoSpaceDN w:val="0"/>
        <w:adjustRightInd w:val="0"/>
        <w:spacing w:after="0" w:line="240" w:lineRule="auto"/>
        <w:jc w:val="both"/>
        <w:rPr>
          <w:b/>
          <w:sz w:val="24"/>
          <w:szCs w:val="24"/>
        </w:rPr>
      </w:pPr>
    </w:p>
    <w:p w:rsidR="00F04BF5" w:rsidRPr="00F04BF5" w:rsidRDefault="00772C4E" w:rsidP="00F04BF5">
      <w:pPr>
        <w:autoSpaceDE w:val="0"/>
        <w:autoSpaceDN w:val="0"/>
        <w:adjustRightInd w:val="0"/>
        <w:spacing w:after="0" w:line="240" w:lineRule="auto"/>
        <w:jc w:val="both"/>
        <w:rPr>
          <w:sz w:val="24"/>
          <w:szCs w:val="24"/>
        </w:rPr>
      </w:pPr>
      <w:r>
        <w:rPr>
          <w:sz w:val="24"/>
          <w:szCs w:val="24"/>
        </w:rPr>
        <w:t>En el Men</w:t>
      </w:r>
      <w:r w:rsidR="00F04BF5">
        <w:rPr>
          <w:sz w:val="24"/>
          <w:szCs w:val="24"/>
        </w:rPr>
        <w:t xml:space="preserve">saje </w:t>
      </w:r>
      <w:r>
        <w:rPr>
          <w:sz w:val="24"/>
          <w:szCs w:val="24"/>
        </w:rPr>
        <w:t xml:space="preserve">15/2019 dicen </w:t>
      </w:r>
      <w:r w:rsidR="00DE2597">
        <w:rPr>
          <w:sz w:val="24"/>
          <w:szCs w:val="24"/>
        </w:rPr>
        <w:t>que,</w:t>
      </w:r>
      <w:r>
        <w:rPr>
          <w:sz w:val="24"/>
          <w:szCs w:val="24"/>
        </w:rPr>
        <w:t xml:space="preserve"> d</w:t>
      </w:r>
      <w:r w:rsidR="00F04BF5" w:rsidRPr="00F04BF5">
        <w:rPr>
          <w:sz w:val="24"/>
          <w:szCs w:val="24"/>
        </w:rPr>
        <w:t>urante el primer cuatrimestre de</w:t>
      </w:r>
      <w:r w:rsidR="00F04BF5">
        <w:rPr>
          <w:sz w:val="24"/>
          <w:szCs w:val="24"/>
        </w:rPr>
        <w:t xml:space="preserve">l año, el balance comercial fue </w:t>
      </w:r>
      <w:r w:rsidR="00F04BF5" w:rsidRPr="00F04BF5">
        <w:rPr>
          <w:sz w:val="24"/>
          <w:szCs w:val="24"/>
        </w:rPr>
        <w:t>superavitario en US$3.146 millones, el máximo desde 2012. En 2018 se había</w:t>
      </w:r>
    </w:p>
    <w:p w:rsidR="00F04BF5" w:rsidRPr="00F04BF5" w:rsidRDefault="00F04BF5" w:rsidP="00F04BF5">
      <w:pPr>
        <w:autoSpaceDE w:val="0"/>
        <w:autoSpaceDN w:val="0"/>
        <w:adjustRightInd w:val="0"/>
        <w:spacing w:after="0" w:line="240" w:lineRule="auto"/>
        <w:jc w:val="both"/>
        <w:rPr>
          <w:sz w:val="24"/>
          <w:szCs w:val="24"/>
        </w:rPr>
      </w:pPr>
      <w:r w:rsidRPr="00F04BF5">
        <w:rPr>
          <w:sz w:val="24"/>
          <w:szCs w:val="24"/>
        </w:rPr>
        <w:t>registrado un déficit comercial por US$3.823 millo</w:t>
      </w:r>
      <w:r w:rsidR="00772C4E">
        <w:rPr>
          <w:sz w:val="24"/>
          <w:szCs w:val="24"/>
        </w:rPr>
        <w:t xml:space="preserve">nes, habiéndose reducido en más </w:t>
      </w:r>
      <w:r w:rsidRPr="00F04BF5">
        <w:rPr>
          <w:sz w:val="24"/>
          <w:szCs w:val="24"/>
        </w:rPr>
        <w:t>de la mitad respecto del de 2017. El déficit energ</w:t>
      </w:r>
      <w:r w:rsidR="00772C4E">
        <w:rPr>
          <w:sz w:val="24"/>
          <w:szCs w:val="24"/>
        </w:rPr>
        <w:t xml:space="preserve">ético fue de US$96 millones, el </w:t>
      </w:r>
      <w:r w:rsidRPr="00F04BF5">
        <w:rPr>
          <w:sz w:val="24"/>
          <w:szCs w:val="24"/>
        </w:rPr>
        <w:t>menor desde 2012, por crecimiento de l</w:t>
      </w:r>
      <w:r w:rsidR="00772C4E">
        <w:rPr>
          <w:sz w:val="24"/>
          <w:szCs w:val="24"/>
        </w:rPr>
        <w:t xml:space="preserve">as exportaciones y caída de las </w:t>
      </w:r>
      <w:r w:rsidRPr="00F04BF5">
        <w:rPr>
          <w:sz w:val="24"/>
          <w:szCs w:val="24"/>
        </w:rPr>
        <w:t>importaciones.</w:t>
      </w:r>
    </w:p>
    <w:p w:rsidR="00772C4E" w:rsidRDefault="00772C4E" w:rsidP="00F04BF5">
      <w:pPr>
        <w:autoSpaceDE w:val="0"/>
        <w:autoSpaceDN w:val="0"/>
        <w:adjustRightInd w:val="0"/>
        <w:spacing w:after="0" w:line="240" w:lineRule="auto"/>
        <w:jc w:val="both"/>
        <w:rPr>
          <w:sz w:val="24"/>
          <w:szCs w:val="24"/>
        </w:rPr>
      </w:pPr>
    </w:p>
    <w:p w:rsidR="00F04BF5" w:rsidRPr="00F04BF5" w:rsidRDefault="00F04BF5" w:rsidP="00F04BF5">
      <w:pPr>
        <w:autoSpaceDE w:val="0"/>
        <w:autoSpaceDN w:val="0"/>
        <w:adjustRightInd w:val="0"/>
        <w:spacing w:after="0" w:line="240" w:lineRule="auto"/>
        <w:jc w:val="both"/>
        <w:rPr>
          <w:sz w:val="24"/>
          <w:szCs w:val="24"/>
        </w:rPr>
      </w:pPr>
      <w:r w:rsidRPr="00F04BF5">
        <w:rPr>
          <w:sz w:val="24"/>
          <w:szCs w:val="24"/>
        </w:rPr>
        <w:t>Las exportaciones cayeron 1,2% i</w:t>
      </w:r>
      <w:r w:rsidR="00772C4E">
        <w:rPr>
          <w:sz w:val="24"/>
          <w:szCs w:val="24"/>
        </w:rPr>
        <w:t xml:space="preserve">nteranual en cuatro meses; esto </w:t>
      </w:r>
      <w:r w:rsidRPr="00F04BF5">
        <w:rPr>
          <w:sz w:val="24"/>
          <w:szCs w:val="24"/>
        </w:rPr>
        <w:t>se debió a la caída en los precios (-4,9%</w:t>
      </w:r>
      <w:r w:rsidR="00772C4E">
        <w:rPr>
          <w:sz w:val="24"/>
          <w:szCs w:val="24"/>
        </w:rPr>
        <w:t xml:space="preserve"> interanual) y fue parcialmente </w:t>
      </w:r>
      <w:r w:rsidRPr="00F04BF5">
        <w:rPr>
          <w:sz w:val="24"/>
          <w:szCs w:val="24"/>
        </w:rPr>
        <w:t xml:space="preserve">compensado por el crecimiento de las cantidades (3,9% interanual). </w:t>
      </w:r>
      <w:r w:rsidR="00772C4E">
        <w:rPr>
          <w:sz w:val="24"/>
          <w:szCs w:val="24"/>
        </w:rPr>
        <w:t xml:space="preserve">A partir de </w:t>
      </w:r>
      <w:r w:rsidRPr="00F04BF5">
        <w:rPr>
          <w:sz w:val="24"/>
          <w:szCs w:val="24"/>
        </w:rPr>
        <w:t xml:space="preserve">abril </w:t>
      </w:r>
      <w:r w:rsidR="00772C4E">
        <w:rPr>
          <w:sz w:val="24"/>
          <w:szCs w:val="24"/>
        </w:rPr>
        <w:t xml:space="preserve">2019 </w:t>
      </w:r>
      <w:r w:rsidRPr="00F04BF5">
        <w:rPr>
          <w:sz w:val="24"/>
          <w:szCs w:val="24"/>
        </w:rPr>
        <w:t>se espera que la tendencia positiva se acentúe, tras un buen ini</w:t>
      </w:r>
      <w:r w:rsidR="00772C4E">
        <w:rPr>
          <w:sz w:val="24"/>
          <w:szCs w:val="24"/>
        </w:rPr>
        <w:t xml:space="preserve">cio de la </w:t>
      </w:r>
      <w:r w:rsidRPr="00F04BF5">
        <w:rPr>
          <w:sz w:val="24"/>
          <w:szCs w:val="24"/>
        </w:rPr>
        <w:t>cosecha de soja y maíz, junto con un marco de precios internacionales relativamente</w:t>
      </w:r>
      <w:r w:rsidR="00772C4E">
        <w:rPr>
          <w:sz w:val="24"/>
          <w:szCs w:val="24"/>
        </w:rPr>
        <w:t>.</w:t>
      </w:r>
    </w:p>
    <w:p w:rsidR="00F04BF5" w:rsidRPr="00F27BAB" w:rsidRDefault="00F04BF5" w:rsidP="00846967">
      <w:pPr>
        <w:autoSpaceDE w:val="0"/>
        <w:autoSpaceDN w:val="0"/>
        <w:adjustRightInd w:val="0"/>
        <w:spacing w:after="0" w:line="240" w:lineRule="auto"/>
        <w:jc w:val="both"/>
        <w:rPr>
          <w:b/>
          <w:sz w:val="24"/>
          <w:szCs w:val="24"/>
        </w:rPr>
      </w:pPr>
    </w:p>
    <w:p w:rsidR="00F27BAB" w:rsidRDefault="00F27BAB" w:rsidP="00F27BAB">
      <w:pPr>
        <w:autoSpaceDE w:val="0"/>
        <w:autoSpaceDN w:val="0"/>
        <w:adjustRightInd w:val="0"/>
        <w:spacing w:after="0" w:line="240" w:lineRule="auto"/>
        <w:jc w:val="both"/>
        <w:rPr>
          <w:b/>
          <w:sz w:val="24"/>
          <w:szCs w:val="24"/>
        </w:rPr>
      </w:pPr>
      <w:r w:rsidRPr="00F27BAB">
        <w:rPr>
          <w:b/>
          <w:sz w:val="24"/>
          <w:szCs w:val="24"/>
        </w:rPr>
        <w:t>MONETARIO Y FINANCIERO</w:t>
      </w:r>
    </w:p>
    <w:p w:rsidR="00F27BAB" w:rsidRPr="00F27BAB" w:rsidRDefault="00F27BAB" w:rsidP="00F27BAB">
      <w:pPr>
        <w:autoSpaceDE w:val="0"/>
        <w:autoSpaceDN w:val="0"/>
        <w:adjustRightInd w:val="0"/>
        <w:spacing w:after="0" w:line="240" w:lineRule="auto"/>
        <w:jc w:val="both"/>
        <w:rPr>
          <w:b/>
          <w:sz w:val="24"/>
          <w:szCs w:val="24"/>
        </w:rPr>
      </w:pPr>
    </w:p>
    <w:p w:rsidR="00F27BAB" w:rsidRPr="00F27BAB" w:rsidRDefault="00F27BAB" w:rsidP="00F27BAB">
      <w:pPr>
        <w:autoSpaceDE w:val="0"/>
        <w:autoSpaceDN w:val="0"/>
        <w:adjustRightInd w:val="0"/>
        <w:spacing w:after="0" w:line="240" w:lineRule="auto"/>
        <w:jc w:val="both"/>
        <w:rPr>
          <w:sz w:val="24"/>
          <w:szCs w:val="24"/>
        </w:rPr>
      </w:pPr>
      <w:r w:rsidRPr="00F27BAB">
        <w:rPr>
          <w:sz w:val="24"/>
          <w:szCs w:val="24"/>
        </w:rPr>
        <w:t>El contexto financiero i</w:t>
      </w:r>
      <w:r>
        <w:rPr>
          <w:sz w:val="24"/>
          <w:szCs w:val="24"/>
        </w:rPr>
        <w:t xml:space="preserve">nternacional para las economías </w:t>
      </w:r>
      <w:r w:rsidRPr="00F27BAB">
        <w:rPr>
          <w:sz w:val="24"/>
          <w:szCs w:val="24"/>
        </w:rPr>
        <w:t>emergentes se deterioró considerablem</w:t>
      </w:r>
      <w:r>
        <w:rPr>
          <w:sz w:val="24"/>
          <w:szCs w:val="24"/>
        </w:rPr>
        <w:t xml:space="preserve">ente a partir de abril de 2018 tras la suba de la </w:t>
      </w:r>
      <w:r w:rsidRPr="00F27BAB">
        <w:rPr>
          <w:sz w:val="24"/>
          <w:szCs w:val="24"/>
        </w:rPr>
        <w:t>tasa de interés</w:t>
      </w:r>
      <w:r>
        <w:rPr>
          <w:sz w:val="24"/>
          <w:szCs w:val="24"/>
        </w:rPr>
        <w:t xml:space="preserve"> de referencia de la FED, a lo </w:t>
      </w:r>
      <w:r w:rsidRPr="00F27BAB">
        <w:rPr>
          <w:sz w:val="24"/>
          <w:szCs w:val="24"/>
        </w:rPr>
        <w:t>que se sumó el impacto de las tensiones comerciale</w:t>
      </w:r>
      <w:r>
        <w:rPr>
          <w:sz w:val="24"/>
          <w:szCs w:val="24"/>
        </w:rPr>
        <w:t xml:space="preserve">s entre Estados Unidos y China. </w:t>
      </w:r>
      <w:r w:rsidRPr="00F27BAB">
        <w:rPr>
          <w:sz w:val="24"/>
          <w:szCs w:val="24"/>
        </w:rPr>
        <w:t>Esto se tradujo en salidas de capitales, depreciaciones de monedas emergentes y</w:t>
      </w:r>
    </w:p>
    <w:p w:rsidR="00F27BAB" w:rsidRDefault="00F27BAB" w:rsidP="00F27BAB">
      <w:pPr>
        <w:autoSpaceDE w:val="0"/>
        <w:autoSpaceDN w:val="0"/>
        <w:adjustRightInd w:val="0"/>
        <w:spacing w:after="0" w:line="240" w:lineRule="auto"/>
        <w:jc w:val="both"/>
        <w:rPr>
          <w:sz w:val="24"/>
          <w:szCs w:val="24"/>
        </w:rPr>
      </w:pPr>
      <w:r w:rsidRPr="00F27BAB">
        <w:rPr>
          <w:sz w:val="24"/>
          <w:szCs w:val="24"/>
        </w:rPr>
        <w:lastRenderedPageBreak/>
        <w:t>aum</w:t>
      </w:r>
      <w:r>
        <w:rPr>
          <w:sz w:val="24"/>
          <w:szCs w:val="24"/>
        </w:rPr>
        <w:t xml:space="preserve">entos de los riesgos soberanos. </w:t>
      </w:r>
      <w:r w:rsidRPr="00F27BAB">
        <w:rPr>
          <w:sz w:val="24"/>
          <w:szCs w:val="24"/>
        </w:rPr>
        <w:t>En este ma</w:t>
      </w:r>
      <w:r>
        <w:rPr>
          <w:sz w:val="24"/>
          <w:szCs w:val="24"/>
        </w:rPr>
        <w:t>rco, la política monetaria fue</w:t>
      </w:r>
      <w:r w:rsidRPr="00F27BAB">
        <w:rPr>
          <w:sz w:val="24"/>
          <w:szCs w:val="24"/>
        </w:rPr>
        <w:t xml:space="preserve"> focalizada en bajar la</w:t>
      </w:r>
      <w:r>
        <w:rPr>
          <w:sz w:val="24"/>
          <w:szCs w:val="24"/>
        </w:rPr>
        <w:t xml:space="preserve"> </w:t>
      </w:r>
      <w:r w:rsidRPr="00F27BAB">
        <w:rPr>
          <w:sz w:val="24"/>
          <w:szCs w:val="24"/>
        </w:rPr>
        <w:t>inflación y anclar las expectativas. Desde octubre de 2018, el BCRA implementó</w:t>
      </w:r>
      <w:r>
        <w:rPr>
          <w:sz w:val="24"/>
          <w:szCs w:val="24"/>
        </w:rPr>
        <w:t xml:space="preserve"> </w:t>
      </w:r>
      <w:r w:rsidRPr="00F27BAB">
        <w:rPr>
          <w:sz w:val="24"/>
          <w:szCs w:val="24"/>
        </w:rPr>
        <w:t>un nuevo esquema de política monetaria media</w:t>
      </w:r>
      <w:r>
        <w:rPr>
          <w:sz w:val="24"/>
          <w:szCs w:val="24"/>
        </w:rPr>
        <w:t xml:space="preserve">nte el cual se comprometió a no </w:t>
      </w:r>
      <w:r w:rsidRPr="00F27BAB">
        <w:rPr>
          <w:sz w:val="24"/>
          <w:szCs w:val="24"/>
        </w:rPr>
        <w:t xml:space="preserve">aumentar el nivel de la base monetaria hasta junio de 2019. </w:t>
      </w:r>
      <w:r>
        <w:rPr>
          <w:sz w:val="24"/>
          <w:szCs w:val="24"/>
        </w:rPr>
        <w:t xml:space="preserve"> </w:t>
      </w:r>
      <w:r w:rsidRPr="00F27BAB">
        <w:rPr>
          <w:sz w:val="24"/>
          <w:szCs w:val="24"/>
        </w:rPr>
        <w:t>Al establecerse la cantidad de dinero</w:t>
      </w:r>
      <w:r>
        <w:rPr>
          <w:sz w:val="24"/>
          <w:szCs w:val="24"/>
        </w:rPr>
        <w:t xml:space="preserve"> </w:t>
      </w:r>
      <w:r w:rsidRPr="00F27BAB">
        <w:rPr>
          <w:sz w:val="24"/>
          <w:szCs w:val="24"/>
        </w:rPr>
        <w:t>de forma exógena, la tasa de interés de las LELIQ</w:t>
      </w:r>
      <w:r>
        <w:rPr>
          <w:sz w:val="24"/>
          <w:szCs w:val="24"/>
        </w:rPr>
        <w:t xml:space="preserve"> es determinada por la oferta y </w:t>
      </w:r>
      <w:r w:rsidRPr="00F27BAB">
        <w:rPr>
          <w:sz w:val="24"/>
          <w:szCs w:val="24"/>
        </w:rPr>
        <w:t>demanda de liquidez necesaria para cumplir con el</w:t>
      </w:r>
      <w:r>
        <w:rPr>
          <w:sz w:val="24"/>
          <w:szCs w:val="24"/>
        </w:rPr>
        <w:t xml:space="preserve"> compromiso de crecimiento nulo de la base, peor no dicen que eso significó Tasas en torno al 70% anual en imposiciones de 7 –siete- días.</w:t>
      </w:r>
    </w:p>
    <w:p w:rsidR="007C0B20" w:rsidRDefault="007C0B20" w:rsidP="00F27BAB">
      <w:pPr>
        <w:autoSpaceDE w:val="0"/>
        <w:autoSpaceDN w:val="0"/>
        <w:adjustRightInd w:val="0"/>
        <w:spacing w:after="0" w:line="240" w:lineRule="auto"/>
        <w:jc w:val="both"/>
        <w:rPr>
          <w:sz w:val="24"/>
          <w:szCs w:val="24"/>
        </w:rPr>
      </w:pPr>
    </w:p>
    <w:p w:rsidR="007C0B20" w:rsidRPr="00F27BAB" w:rsidRDefault="007C0B20" w:rsidP="007C0B20">
      <w:pPr>
        <w:autoSpaceDE w:val="0"/>
        <w:autoSpaceDN w:val="0"/>
        <w:adjustRightInd w:val="0"/>
        <w:spacing w:after="0" w:line="240" w:lineRule="auto"/>
        <w:jc w:val="both"/>
        <w:rPr>
          <w:sz w:val="24"/>
          <w:szCs w:val="24"/>
        </w:rPr>
      </w:pPr>
      <w:r>
        <w:rPr>
          <w:sz w:val="24"/>
          <w:szCs w:val="24"/>
        </w:rPr>
        <w:t>También ponderan, según ellos que, c</w:t>
      </w:r>
      <w:r w:rsidRPr="007C0B20">
        <w:rPr>
          <w:sz w:val="24"/>
          <w:szCs w:val="24"/>
        </w:rPr>
        <w:t>on el objetivo de reducir la vola</w:t>
      </w:r>
      <w:r>
        <w:rPr>
          <w:sz w:val="24"/>
          <w:szCs w:val="24"/>
        </w:rPr>
        <w:t xml:space="preserve">tilidad del mercado de cambios, </w:t>
      </w:r>
      <w:r w:rsidRPr="007C0B20">
        <w:rPr>
          <w:sz w:val="24"/>
          <w:szCs w:val="24"/>
        </w:rPr>
        <w:t>en los últimos días de abril de 2019 el COPOM deci</w:t>
      </w:r>
      <w:r>
        <w:rPr>
          <w:sz w:val="24"/>
          <w:szCs w:val="24"/>
        </w:rPr>
        <w:t xml:space="preserve">dió flexibilizar la política de </w:t>
      </w:r>
      <w:r w:rsidRPr="007C0B20">
        <w:rPr>
          <w:sz w:val="24"/>
          <w:szCs w:val="24"/>
        </w:rPr>
        <w:t>interven</w:t>
      </w:r>
      <w:r>
        <w:rPr>
          <w:sz w:val="24"/>
          <w:szCs w:val="24"/>
        </w:rPr>
        <w:t xml:space="preserve">ción de la autoridad monetaria y, el BCRA está </w:t>
      </w:r>
      <w:r w:rsidRPr="007C0B20">
        <w:rPr>
          <w:sz w:val="24"/>
          <w:szCs w:val="24"/>
        </w:rPr>
        <w:t xml:space="preserve">facultado para intervenir tanto dentro como fuera de </w:t>
      </w:r>
      <w:r>
        <w:rPr>
          <w:sz w:val="24"/>
          <w:szCs w:val="24"/>
        </w:rPr>
        <w:t xml:space="preserve">zona de referencia cambiaria, y </w:t>
      </w:r>
      <w:r w:rsidRPr="007C0B20">
        <w:rPr>
          <w:sz w:val="24"/>
          <w:szCs w:val="24"/>
        </w:rPr>
        <w:t>de esta manera contribuir al adecuado f</w:t>
      </w:r>
      <w:r>
        <w:rPr>
          <w:sz w:val="24"/>
          <w:szCs w:val="24"/>
        </w:rPr>
        <w:t xml:space="preserve">uncionamiento de dicho mercado. </w:t>
      </w:r>
      <w:r w:rsidRPr="007C0B20">
        <w:rPr>
          <w:sz w:val="24"/>
          <w:szCs w:val="24"/>
        </w:rPr>
        <w:t>Desde esta última modificació</w:t>
      </w:r>
      <w:r>
        <w:rPr>
          <w:sz w:val="24"/>
          <w:szCs w:val="24"/>
        </w:rPr>
        <w:t xml:space="preserve">n, el BCRA no se ha visto en la </w:t>
      </w:r>
      <w:r w:rsidRPr="007C0B20">
        <w:rPr>
          <w:sz w:val="24"/>
          <w:szCs w:val="24"/>
        </w:rPr>
        <w:t>necesidad de intervenir en el mercado, a pesar de lo cual el tipo de camb</w:t>
      </w:r>
      <w:r>
        <w:rPr>
          <w:sz w:val="24"/>
          <w:szCs w:val="24"/>
        </w:rPr>
        <w:t xml:space="preserve">io se </w:t>
      </w:r>
      <w:r w:rsidRPr="007C0B20">
        <w:rPr>
          <w:sz w:val="24"/>
          <w:szCs w:val="24"/>
        </w:rPr>
        <w:t>estabilizó y acumula una apreciación de 7% desde el 26 de abril</w:t>
      </w:r>
      <w:r>
        <w:rPr>
          <w:sz w:val="24"/>
          <w:szCs w:val="24"/>
        </w:rPr>
        <w:t xml:space="preserve"> (como si el carry trade que forjan e impulsan no existiera y como si las tasas de interés que le cobran a los tomadores de crédito no fueran los extremadamente positivas que son y por ende confiscatorias del capital de las empresas y del patrimonio de las personas</w:t>
      </w:r>
      <w:r w:rsidR="00DE2597">
        <w:rPr>
          <w:sz w:val="24"/>
          <w:szCs w:val="24"/>
        </w:rPr>
        <w:t>).</w:t>
      </w:r>
    </w:p>
    <w:p w:rsidR="00F27BAB" w:rsidRDefault="00F27BAB" w:rsidP="00846967">
      <w:pPr>
        <w:autoSpaceDE w:val="0"/>
        <w:autoSpaceDN w:val="0"/>
        <w:adjustRightInd w:val="0"/>
        <w:spacing w:after="0" w:line="240" w:lineRule="auto"/>
        <w:jc w:val="both"/>
        <w:rPr>
          <w:sz w:val="24"/>
          <w:szCs w:val="24"/>
        </w:rPr>
      </w:pPr>
    </w:p>
    <w:p w:rsidR="003D0265" w:rsidRPr="003D0265" w:rsidRDefault="003D0265" w:rsidP="003D0265">
      <w:pPr>
        <w:autoSpaceDE w:val="0"/>
        <w:autoSpaceDN w:val="0"/>
        <w:adjustRightInd w:val="0"/>
        <w:spacing w:after="0" w:line="240" w:lineRule="auto"/>
        <w:jc w:val="both"/>
        <w:rPr>
          <w:rFonts w:ascii="Calibri" w:hAnsi="Calibri" w:cs="Calibri"/>
          <w:b/>
          <w:sz w:val="24"/>
          <w:szCs w:val="24"/>
        </w:rPr>
      </w:pPr>
      <w:r w:rsidRPr="003D0265">
        <w:rPr>
          <w:rFonts w:ascii="Calibri" w:hAnsi="Calibri" w:cs="Calibri"/>
          <w:b/>
          <w:sz w:val="24"/>
          <w:szCs w:val="24"/>
        </w:rPr>
        <w:t>LINEAMIENTOS GENERALES DE POLÍTICA PRESUPUESTARIA</w:t>
      </w:r>
      <w:r>
        <w:rPr>
          <w:rFonts w:ascii="Calibri" w:hAnsi="Calibri" w:cs="Calibri"/>
          <w:b/>
          <w:sz w:val="24"/>
          <w:szCs w:val="24"/>
        </w:rPr>
        <w:t xml:space="preserve"> </w:t>
      </w:r>
      <w:r w:rsidRPr="003D0265">
        <w:rPr>
          <w:rFonts w:ascii="Calibri" w:hAnsi="Calibri" w:cs="Calibri"/>
          <w:b/>
          <w:sz w:val="24"/>
          <w:szCs w:val="24"/>
        </w:rPr>
        <w:t>PARA 2020</w:t>
      </w:r>
    </w:p>
    <w:p w:rsidR="005B03A5" w:rsidRDefault="005B03A5" w:rsidP="005B03A5">
      <w:pPr>
        <w:autoSpaceDE w:val="0"/>
        <w:autoSpaceDN w:val="0"/>
        <w:adjustRightInd w:val="0"/>
        <w:spacing w:after="0" w:line="240" w:lineRule="auto"/>
        <w:jc w:val="both"/>
        <w:rPr>
          <w:rFonts w:ascii="Calibri" w:hAnsi="Calibri" w:cs="Calibri"/>
          <w:b/>
          <w:sz w:val="24"/>
          <w:szCs w:val="24"/>
        </w:rPr>
      </w:pPr>
    </w:p>
    <w:p w:rsidR="005B03A5" w:rsidRPr="005B03A5" w:rsidRDefault="005B03A5" w:rsidP="005B03A5">
      <w:pPr>
        <w:autoSpaceDE w:val="0"/>
        <w:autoSpaceDN w:val="0"/>
        <w:adjustRightInd w:val="0"/>
        <w:spacing w:after="0" w:line="240" w:lineRule="auto"/>
        <w:jc w:val="both"/>
        <w:rPr>
          <w:i/>
          <w:sz w:val="24"/>
          <w:szCs w:val="24"/>
        </w:rPr>
      </w:pPr>
      <w:r>
        <w:rPr>
          <w:sz w:val="24"/>
          <w:szCs w:val="24"/>
        </w:rPr>
        <w:t xml:space="preserve">Tienen la caradurez de fijar como </w:t>
      </w:r>
      <w:r w:rsidRPr="005B03A5">
        <w:rPr>
          <w:sz w:val="24"/>
          <w:szCs w:val="24"/>
        </w:rPr>
        <w:t xml:space="preserve">prioridades de política pública </w:t>
      </w:r>
      <w:r>
        <w:rPr>
          <w:sz w:val="24"/>
          <w:szCs w:val="24"/>
        </w:rPr>
        <w:t xml:space="preserve">incluidas en el </w:t>
      </w:r>
      <w:r w:rsidRPr="005B03A5">
        <w:rPr>
          <w:sz w:val="24"/>
          <w:szCs w:val="24"/>
        </w:rPr>
        <w:t>Presupuesto</w:t>
      </w:r>
      <w:r>
        <w:rPr>
          <w:sz w:val="24"/>
          <w:szCs w:val="24"/>
        </w:rPr>
        <w:t xml:space="preserve"> </w:t>
      </w:r>
      <w:r w:rsidRPr="005B03A5">
        <w:rPr>
          <w:sz w:val="24"/>
          <w:szCs w:val="24"/>
        </w:rPr>
        <w:t>General de la Administración Pública Nacion</w:t>
      </w:r>
      <w:r>
        <w:rPr>
          <w:sz w:val="24"/>
          <w:szCs w:val="24"/>
        </w:rPr>
        <w:t>al para el ejercicio 2020: “…</w:t>
      </w:r>
      <w:r w:rsidRPr="005B03A5">
        <w:rPr>
          <w:i/>
          <w:sz w:val="24"/>
          <w:szCs w:val="24"/>
        </w:rPr>
        <w:t xml:space="preserve">el desarrollo del país, con foco en la generación de empleo y la reducción de la pobreza”. </w:t>
      </w:r>
    </w:p>
    <w:p w:rsidR="005B03A5" w:rsidRDefault="005B03A5"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Obviamente que le principal gasto es el social, fundamentalmente por los servicios sociales, donde la mayor erogación es la previsional</w:t>
      </w:r>
    </w:p>
    <w:p w:rsidR="005B03A5" w:rsidRDefault="005B03A5" w:rsidP="005B03A5">
      <w:pPr>
        <w:autoSpaceDE w:val="0"/>
        <w:autoSpaceDN w:val="0"/>
        <w:adjustRightInd w:val="0"/>
        <w:spacing w:after="0" w:line="240" w:lineRule="auto"/>
        <w:jc w:val="both"/>
        <w:rPr>
          <w:sz w:val="24"/>
          <w:szCs w:val="24"/>
        </w:rPr>
      </w:pPr>
    </w:p>
    <w:p w:rsidR="005B03A5" w:rsidRPr="005B03A5" w:rsidRDefault="00225BF8" w:rsidP="005B03A5">
      <w:pPr>
        <w:autoSpaceDE w:val="0"/>
        <w:autoSpaceDN w:val="0"/>
        <w:adjustRightInd w:val="0"/>
        <w:spacing w:after="0" w:line="240" w:lineRule="auto"/>
        <w:jc w:val="both"/>
        <w:rPr>
          <w:sz w:val="24"/>
          <w:szCs w:val="24"/>
        </w:rPr>
      </w:pPr>
      <w:r w:rsidRPr="00225BF8">
        <w:rPr>
          <w:b/>
          <w:sz w:val="24"/>
          <w:szCs w:val="24"/>
        </w:rPr>
        <w:t>DEFENSA</w:t>
      </w:r>
      <w:r>
        <w:rPr>
          <w:sz w:val="24"/>
          <w:szCs w:val="24"/>
        </w:rPr>
        <w:t xml:space="preserve">: </w:t>
      </w:r>
      <w:r w:rsidR="005B03A5" w:rsidRPr="005B03A5">
        <w:rPr>
          <w:sz w:val="24"/>
          <w:szCs w:val="24"/>
        </w:rPr>
        <w:t>El principal desafío en materia de defe</w:t>
      </w:r>
      <w:r>
        <w:rPr>
          <w:sz w:val="24"/>
          <w:szCs w:val="24"/>
        </w:rPr>
        <w:t xml:space="preserve">nsa es continuar con el proceso </w:t>
      </w:r>
      <w:r w:rsidR="005B03A5" w:rsidRPr="005B03A5">
        <w:rPr>
          <w:sz w:val="24"/>
          <w:szCs w:val="24"/>
        </w:rPr>
        <w:t>de modernización de la organización de las Fuerzas Armadas</w:t>
      </w:r>
      <w:r>
        <w:rPr>
          <w:sz w:val="24"/>
          <w:szCs w:val="24"/>
        </w:rPr>
        <w:t xml:space="preserve">, tendientes a </w:t>
      </w:r>
      <w:r w:rsidR="005B03A5" w:rsidRPr="005B03A5">
        <w:rPr>
          <w:sz w:val="24"/>
          <w:szCs w:val="24"/>
        </w:rPr>
        <w:t xml:space="preserve">consolidar estructuras más </w:t>
      </w:r>
      <w:r>
        <w:rPr>
          <w:sz w:val="24"/>
          <w:szCs w:val="24"/>
        </w:rPr>
        <w:t xml:space="preserve">flexibles y menos burocráticas, se continuará con el </w:t>
      </w:r>
      <w:r w:rsidR="005B03A5" w:rsidRPr="005B03A5">
        <w:rPr>
          <w:sz w:val="24"/>
          <w:szCs w:val="24"/>
        </w:rPr>
        <w:t>cumplimiento del Plan de Reequipamiento Plurianual definido durante 2018.</w:t>
      </w:r>
    </w:p>
    <w:p w:rsidR="00225BF8" w:rsidRDefault="00225BF8"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La Fábrica Argentina de Avione</w:t>
      </w:r>
      <w:r w:rsidR="00225BF8">
        <w:rPr>
          <w:sz w:val="24"/>
          <w:szCs w:val="24"/>
        </w:rPr>
        <w:t>s “Brig. San Martín” SA (</w:t>
      </w:r>
      <w:proofErr w:type="spellStart"/>
      <w:r w:rsidR="00225BF8">
        <w:rPr>
          <w:sz w:val="24"/>
          <w:szCs w:val="24"/>
        </w:rPr>
        <w:t>FAdeA</w:t>
      </w:r>
      <w:proofErr w:type="spellEnd"/>
      <w:r w:rsidR="00225BF8">
        <w:rPr>
          <w:sz w:val="24"/>
          <w:szCs w:val="24"/>
        </w:rPr>
        <w:t xml:space="preserve">) tiene como </w:t>
      </w:r>
      <w:r w:rsidR="008015D1">
        <w:rPr>
          <w:sz w:val="24"/>
          <w:szCs w:val="24"/>
        </w:rPr>
        <w:t xml:space="preserve">objetivo, </w:t>
      </w:r>
      <w:r w:rsidR="008015D1" w:rsidRPr="005B03A5">
        <w:rPr>
          <w:sz w:val="24"/>
          <w:szCs w:val="24"/>
        </w:rPr>
        <w:t>alcanzar</w:t>
      </w:r>
      <w:r w:rsidRPr="005B03A5">
        <w:rPr>
          <w:sz w:val="24"/>
          <w:szCs w:val="24"/>
        </w:rPr>
        <w:t xml:space="preserve"> el 50% de facturación anual</w:t>
      </w:r>
      <w:r w:rsidR="00225BF8">
        <w:rPr>
          <w:sz w:val="24"/>
          <w:szCs w:val="24"/>
        </w:rPr>
        <w:t xml:space="preserve"> extra estatal propuesta para </w:t>
      </w:r>
      <w:r w:rsidRPr="005B03A5">
        <w:rPr>
          <w:sz w:val="24"/>
          <w:szCs w:val="24"/>
        </w:rPr>
        <w:t xml:space="preserve">2021, continuar la unidad de negocios de energía </w:t>
      </w:r>
      <w:r w:rsidR="00225BF8">
        <w:rPr>
          <w:sz w:val="24"/>
          <w:szCs w:val="24"/>
        </w:rPr>
        <w:t>eólica que supone el ensamble y f</w:t>
      </w:r>
      <w:r w:rsidRPr="005B03A5">
        <w:rPr>
          <w:sz w:val="24"/>
          <w:szCs w:val="24"/>
        </w:rPr>
        <w:t>abricación de aerogeneradores para alcanzar el v</w:t>
      </w:r>
      <w:r w:rsidR="00225BF8">
        <w:rPr>
          <w:sz w:val="24"/>
          <w:szCs w:val="24"/>
        </w:rPr>
        <w:t xml:space="preserve">olumen estimado de $210.000.000.- </w:t>
      </w:r>
      <w:r w:rsidRPr="005B03A5">
        <w:rPr>
          <w:sz w:val="24"/>
          <w:szCs w:val="24"/>
        </w:rPr>
        <w:t>entre 2019 y 2020, y entregar en tiempo y form</w:t>
      </w:r>
      <w:r w:rsidR="00225BF8">
        <w:rPr>
          <w:sz w:val="24"/>
          <w:szCs w:val="24"/>
        </w:rPr>
        <w:t xml:space="preserve">a los aviones comprometidos con </w:t>
      </w:r>
      <w:r w:rsidRPr="005B03A5">
        <w:rPr>
          <w:sz w:val="24"/>
          <w:szCs w:val="24"/>
        </w:rPr>
        <w:t>Bolivia, Guatemala y Paraguay.</w:t>
      </w:r>
    </w:p>
    <w:p w:rsidR="00EB461E" w:rsidRDefault="00EB461E"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Por su parte, Fabricaciones Militares (FMSE) se propone buscar el</w:t>
      </w:r>
      <w:r w:rsidR="00EB461E">
        <w:rPr>
          <w:sz w:val="24"/>
          <w:szCs w:val="24"/>
        </w:rPr>
        <w:t xml:space="preserve"> </w:t>
      </w:r>
      <w:r w:rsidRPr="005B03A5">
        <w:rPr>
          <w:sz w:val="24"/>
          <w:szCs w:val="24"/>
        </w:rPr>
        <w:t>equilibrio económico-financiero. En tanto, TANDANOR SACIyN comenzará con la</w:t>
      </w:r>
      <w:r w:rsidR="00EB461E">
        <w:rPr>
          <w:sz w:val="24"/>
          <w:szCs w:val="24"/>
        </w:rPr>
        <w:t xml:space="preserve"> </w:t>
      </w:r>
      <w:r w:rsidRPr="005B03A5">
        <w:rPr>
          <w:sz w:val="24"/>
          <w:szCs w:val="24"/>
        </w:rPr>
        <w:t>construcción de pesqueros en el Astillero Storni; definirá el programa de</w:t>
      </w:r>
      <w:r w:rsidR="00EB461E">
        <w:rPr>
          <w:sz w:val="24"/>
          <w:szCs w:val="24"/>
        </w:rPr>
        <w:t xml:space="preserve"> </w:t>
      </w:r>
      <w:r w:rsidRPr="005B03A5">
        <w:rPr>
          <w:sz w:val="24"/>
          <w:szCs w:val="24"/>
        </w:rPr>
        <w:t>reparación/terminación de los submarinos, y continuará realizando trabajos de</w:t>
      </w:r>
      <w:r w:rsidR="00EB461E">
        <w:rPr>
          <w:sz w:val="24"/>
          <w:szCs w:val="24"/>
        </w:rPr>
        <w:t xml:space="preserve"> </w:t>
      </w:r>
      <w:r w:rsidRPr="005B03A5">
        <w:rPr>
          <w:sz w:val="24"/>
          <w:szCs w:val="24"/>
        </w:rPr>
        <w:t>metalmecánica para satisfacer las demandas estatales y privadas en este sector.</w:t>
      </w:r>
    </w:p>
    <w:p w:rsidR="00EB461E" w:rsidRDefault="00EB461E" w:rsidP="005B03A5">
      <w:pPr>
        <w:autoSpaceDE w:val="0"/>
        <w:autoSpaceDN w:val="0"/>
        <w:adjustRightInd w:val="0"/>
        <w:spacing w:after="0" w:line="240" w:lineRule="auto"/>
        <w:jc w:val="both"/>
        <w:rPr>
          <w:sz w:val="24"/>
          <w:szCs w:val="24"/>
        </w:rPr>
      </w:pPr>
    </w:p>
    <w:p w:rsidR="00EB461E" w:rsidRDefault="005B03A5" w:rsidP="005B03A5">
      <w:pPr>
        <w:autoSpaceDE w:val="0"/>
        <w:autoSpaceDN w:val="0"/>
        <w:adjustRightInd w:val="0"/>
        <w:spacing w:after="0" w:line="240" w:lineRule="auto"/>
        <w:jc w:val="both"/>
        <w:rPr>
          <w:sz w:val="24"/>
          <w:szCs w:val="24"/>
        </w:rPr>
      </w:pPr>
      <w:r w:rsidRPr="005B03A5">
        <w:rPr>
          <w:sz w:val="24"/>
          <w:szCs w:val="24"/>
        </w:rPr>
        <w:lastRenderedPageBreak/>
        <w:t>Desde el ámbito de la Ciberdefensa, se seguirá trabajando en la</w:t>
      </w:r>
      <w:r w:rsidR="00EB461E">
        <w:rPr>
          <w:sz w:val="24"/>
          <w:szCs w:val="24"/>
        </w:rPr>
        <w:t xml:space="preserve"> </w:t>
      </w:r>
      <w:r w:rsidRPr="005B03A5">
        <w:rPr>
          <w:sz w:val="24"/>
          <w:szCs w:val="24"/>
        </w:rPr>
        <w:t>implementación del Plan de Adecuación de las organizaciones militares y el Plan</w:t>
      </w:r>
      <w:r w:rsidR="00EB461E">
        <w:rPr>
          <w:sz w:val="24"/>
          <w:szCs w:val="24"/>
        </w:rPr>
        <w:t xml:space="preserve"> </w:t>
      </w:r>
      <w:r w:rsidRPr="005B03A5">
        <w:rPr>
          <w:sz w:val="24"/>
          <w:szCs w:val="24"/>
        </w:rPr>
        <w:t xml:space="preserve">Nacional de Infraestructuras críticas de la Defensa Nacional. </w:t>
      </w:r>
    </w:p>
    <w:p w:rsidR="00EB461E" w:rsidRDefault="00EB461E" w:rsidP="005B03A5">
      <w:pPr>
        <w:autoSpaceDE w:val="0"/>
        <w:autoSpaceDN w:val="0"/>
        <w:adjustRightInd w:val="0"/>
        <w:spacing w:after="0" w:line="240" w:lineRule="auto"/>
        <w:jc w:val="both"/>
        <w:rPr>
          <w:sz w:val="24"/>
          <w:szCs w:val="24"/>
        </w:rPr>
      </w:pPr>
    </w:p>
    <w:p w:rsidR="00EB461E" w:rsidRDefault="00EB461E" w:rsidP="005B03A5">
      <w:pPr>
        <w:autoSpaceDE w:val="0"/>
        <w:autoSpaceDN w:val="0"/>
        <w:adjustRightInd w:val="0"/>
        <w:spacing w:after="0" w:line="240" w:lineRule="auto"/>
        <w:jc w:val="both"/>
        <w:rPr>
          <w:sz w:val="24"/>
          <w:szCs w:val="24"/>
        </w:rPr>
      </w:pPr>
    </w:p>
    <w:p w:rsidR="005B03A5" w:rsidRPr="00EB461E" w:rsidRDefault="005B03A5" w:rsidP="005B03A5">
      <w:pPr>
        <w:autoSpaceDE w:val="0"/>
        <w:autoSpaceDN w:val="0"/>
        <w:adjustRightInd w:val="0"/>
        <w:spacing w:after="0" w:line="240" w:lineRule="auto"/>
        <w:jc w:val="both"/>
        <w:rPr>
          <w:b/>
          <w:sz w:val="24"/>
          <w:szCs w:val="24"/>
        </w:rPr>
      </w:pPr>
      <w:r w:rsidRPr="00EB461E">
        <w:rPr>
          <w:b/>
          <w:sz w:val="24"/>
          <w:szCs w:val="24"/>
        </w:rPr>
        <w:t>SEGURIDAD CIUDADANA</w:t>
      </w:r>
      <w:r w:rsidR="00EB461E">
        <w:rPr>
          <w:b/>
          <w:sz w:val="24"/>
          <w:szCs w:val="24"/>
        </w:rPr>
        <w:t xml:space="preserve"> </w:t>
      </w:r>
      <w:r w:rsidRPr="005B03A5">
        <w:rPr>
          <w:sz w:val="24"/>
          <w:szCs w:val="24"/>
        </w:rPr>
        <w:t>La lucha contra el narcotráfico, la mejora de la seguridad de</w:t>
      </w:r>
      <w:r w:rsidR="00EB461E">
        <w:rPr>
          <w:b/>
          <w:sz w:val="24"/>
          <w:szCs w:val="24"/>
        </w:rPr>
        <w:t xml:space="preserve"> </w:t>
      </w:r>
      <w:r w:rsidRPr="005B03A5">
        <w:rPr>
          <w:sz w:val="24"/>
          <w:szCs w:val="24"/>
        </w:rPr>
        <w:t>fronteras y la intensificación de las políticas para la mejora de la seguridad</w:t>
      </w:r>
      <w:r w:rsidR="00EB461E">
        <w:rPr>
          <w:b/>
          <w:sz w:val="24"/>
          <w:szCs w:val="24"/>
        </w:rPr>
        <w:t xml:space="preserve"> </w:t>
      </w:r>
      <w:r w:rsidRPr="005B03A5">
        <w:rPr>
          <w:sz w:val="24"/>
          <w:szCs w:val="24"/>
        </w:rPr>
        <w:t>ciudadana serán tres pilares básicos que orientarán el esfuerzo presupuestario del</w:t>
      </w:r>
      <w:r w:rsidR="00EB461E">
        <w:rPr>
          <w:b/>
          <w:sz w:val="24"/>
          <w:szCs w:val="24"/>
        </w:rPr>
        <w:t xml:space="preserve"> </w:t>
      </w:r>
      <w:r w:rsidRPr="005B03A5">
        <w:rPr>
          <w:sz w:val="24"/>
          <w:szCs w:val="24"/>
        </w:rPr>
        <w:t>área.</w:t>
      </w:r>
    </w:p>
    <w:p w:rsidR="00EB461E" w:rsidRPr="005B03A5" w:rsidRDefault="005B03A5" w:rsidP="00EB461E">
      <w:pPr>
        <w:autoSpaceDE w:val="0"/>
        <w:autoSpaceDN w:val="0"/>
        <w:adjustRightInd w:val="0"/>
        <w:spacing w:after="0" w:line="240" w:lineRule="auto"/>
        <w:jc w:val="both"/>
        <w:rPr>
          <w:sz w:val="24"/>
          <w:szCs w:val="24"/>
        </w:rPr>
      </w:pPr>
      <w:r w:rsidRPr="005B03A5">
        <w:rPr>
          <w:sz w:val="24"/>
          <w:szCs w:val="24"/>
        </w:rPr>
        <w:t>Se fortalecerá la capacidad operativa de las fuerzas federales</w:t>
      </w:r>
      <w:r w:rsidR="00EB461E">
        <w:rPr>
          <w:sz w:val="24"/>
          <w:szCs w:val="24"/>
        </w:rPr>
        <w:t xml:space="preserve"> </w:t>
      </w:r>
      <w:r w:rsidRPr="005B03A5">
        <w:rPr>
          <w:sz w:val="24"/>
          <w:szCs w:val="24"/>
        </w:rPr>
        <w:t>tendiendo a su integración en la lucha contra el delito complejo mediante la</w:t>
      </w:r>
      <w:r w:rsidR="00EB461E">
        <w:rPr>
          <w:sz w:val="24"/>
          <w:szCs w:val="24"/>
        </w:rPr>
        <w:t xml:space="preserve"> </w:t>
      </w:r>
      <w:r w:rsidRPr="005B03A5">
        <w:rPr>
          <w:sz w:val="24"/>
          <w:szCs w:val="24"/>
        </w:rPr>
        <w:t>realización de operativos conjuntos con participación de las instituciones policiales</w:t>
      </w:r>
      <w:r w:rsidR="00EB461E">
        <w:rPr>
          <w:sz w:val="24"/>
          <w:szCs w:val="24"/>
        </w:rPr>
        <w:t xml:space="preserve"> </w:t>
      </w:r>
      <w:r w:rsidRPr="005B03A5">
        <w:rPr>
          <w:sz w:val="24"/>
          <w:szCs w:val="24"/>
        </w:rPr>
        <w:t>provinciales.</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w:t>
      </w:r>
    </w:p>
    <w:p w:rsidR="005B03A5" w:rsidRPr="005B03A5" w:rsidRDefault="00EB461E" w:rsidP="00EB461E">
      <w:pPr>
        <w:autoSpaceDE w:val="0"/>
        <w:autoSpaceDN w:val="0"/>
        <w:adjustRightInd w:val="0"/>
        <w:spacing w:after="0" w:line="240" w:lineRule="auto"/>
        <w:jc w:val="both"/>
        <w:rPr>
          <w:sz w:val="24"/>
          <w:szCs w:val="24"/>
        </w:rPr>
      </w:pPr>
      <w:r>
        <w:rPr>
          <w:sz w:val="24"/>
          <w:szCs w:val="24"/>
        </w:rPr>
        <w:t>S</w:t>
      </w:r>
      <w:r w:rsidR="005B03A5" w:rsidRPr="005B03A5">
        <w:rPr>
          <w:sz w:val="24"/>
          <w:szCs w:val="24"/>
        </w:rPr>
        <w:t>e impulsarán investigaciones</w:t>
      </w:r>
      <w:r>
        <w:rPr>
          <w:sz w:val="24"/>
          <w:szCs w:val="24"/>
        </w:rPr>
        <w:t xml:space="preserve"> </w:t>
      </w:r>
      <w:r w:rsidR="005B03A5" w:rsidRPr="005B03A5">
        <w:rPr>
          <w:sz w:val="24"/>
          <w:szCs w:val="24"/>
        </w:rPr>
        <w:t>específicas, se capacitará al personal y se lanzará el Programa Nacional de</w:t>
      </w:r>
      <w:r>
        <w:rPr>
          <w:sz w:val="24"/>
          <w:szCs w:val="24"/>
        </w:rPr>
        <w:t xml:space="preserve"> </w:t>
      </w:r>
      <w:r w:rsidR="005B03A5" w:rsidRPr="005B03A5">
        <w:rPr>
          <w:sz w:val="24"/>
          <w:szCs w:val="24"/>
        </w:rPr>
        <w:t>Intervención contra la Comercialización de Drogas (PIC), cuya misión principal será</w:t>
      </w:r>
      <w:r>
        <w:rPr>
          <w:sz w:val="24"/>
          <w:szCs w:val="24"/>
        </w:rPr>
        <w:t xml:space="preserve"> </w:t>
      </w:r>
      <w:r w:rsidR="005B03A5" w:rsidRPr="005B03A5">
        <w:rPr>
          <w:sz w:val="24"/>
          <w:szCs w:val="24"/>
        </w:rPr>
        <w:t xml:space="preserve">la desarticulación de puntos de venta minorista de estupefacientes. </w:t>
      </w:r>
    </w:p>
    <w:p w:rsidR="00EB461E" w:rsidRDefault="00EB461E" w:rsidP="005B03A5">
      <w:pPr>
        <w:autoSpaceDE w:val="0"/>
        <w:autoSpaceDN w:val="0"/>
        <w:adjustRightInd w:val="0"/>
        <w:spacing w:after="0" w:line="240" w:lineRule="auto"/>
        <w:jc w:val="both"/>
        <w:rPr>
          <w:sz w:val="24"/>
          <w:szCs w:val="24"/>
        </w:rPr>
      </w:pPr>
    </w:p>
    <w:p w:rsidR="00EB461E" w:rsidRPr="005B03A5" w:rsidRDefault="005B03A5" w:rsidP="00EB461E">
      <w:pPr>
        <w:autoSpaceDE w:val="0"/>
        <w:autoSpaceDN w:val="0"/>
        <w:adjustRightInd w:val="0"/>
        <w:spacing w:after="0" w:line="240" w:lineRule="auto"/>
        <w:jc w:val="both"/>
        <w:rPr>
          <w:sz w:val="24"/>
          <w:szCs w:val="24"/>
        </w:rPr>
      </w:pPr>
      <w:r w:rsidRPr="005B03A5">
        <w:rPr>
          <w:sz w:val="24"/>
          <w:szCs w:val="24"/>
        </w:rPr>
        <w:t>En lo atinente a la Seguridad Ciudadana, se continuará con la</w:t>
      </w:r>
      <w:r w:rsidR="00EB461E">
        <w:rPr>
          <w:sz w:val="24"/>
          <w:szCs w:val="24"/>
        </w:rPr>
        <w:t xml:space="preserve"> </w:t>
      </w:r>
      <w:r w:rsidRPr="005B03A5">
        <w:rPr>
          <w:sz w:val="24"/>
          <w:szCs w:val="24"/>
        </w:rPr>
        <w:t>implementación del Programa Barrios Seguros, a fin de reducir la presencia de la</w:t>
      </w:r>
      <w:r w:rsidR="00EB461E">
        <w:rPr>
          <w:sz w:val="24"/>
          <w:szCs w:val="24"/>
        </w:rPr>
        <w:t xml:space="preserve"> </w:t>
      </w:r>
      <w:r w:rsidRPr="005B03A5">
        <w:rPr>
          <w:sz w:val="24"/>
          <w:szCs w:val="24"/>
        </w:rPr>
        <w:t>criminalidad organizada, el delito y la violencia en aquellos territorios identificados</w:t>
      </w:r>
      <w:r w:rsidR="00EB461E">
        <w:rPr>
          <w:sz w:val="24"/>
          <w:szCs w:val="24"/>
        </w:rPr>
        <w:t xml:space="preserve"> </w:t>
      </w:r>
      <w:r w:rsidRPr="005B03A5">
        <w:rPr>
          <w:sz w:val="24"/>
          <w:szCs w:val="24"/>
        </w:rPr>
        <w:t xml:space="preserve">como prioritarios en función de su conflictividad social. </w:t>
      </w:r>
    </w:p>
    <w:p w:rsidR="005B03A5" w:rsidRPr="005B03A5" w:rsidRDefault="005B03A5" w:rsidP="005B03A5">
      <w:pPr>
        <w:autoSpaceDE w:val="0"/>
        <w:autoSpaceDN w:val="0"/>
        <w:adjustRightInd w:val="0"/>
        <w:spacing w:after="0" w:line="240" w:lineRule="auto"/>
        <w:jc w:val="both"/>
        <w:rPr>
          <w:sz w:val="24"/>
          <w:szCs w:val="24"/>
        </w:rPr>
      </w:pPr>
    </w:p>
    <w:p w:rsidR="00EB461E" w:rsidRPr="005B03A5" w:rsidRDefault="005B03A5" w:rsidP="00EB461E">
      <w:pPr>
        <w:autoSpaceDE w:val="0"/>
        <w:autoSpaceDN w:val="0"/>
        <w:adjustRightInd w:val="0"/>
        <w:spacing w:after="0" w:line="240" w:lineRule="auto"/>
        <w:jc w:val="both"/>
        <w:rPr>
          <w:sz w:val="24"/>
          <w:szCs w:val="24"/>
        </w:rPr>
      </w:pPr>
      <w:r w:rsidRPr="005B03A5">
        <w:rPr>
          <w:sz w:val="24"/>
          <w:szCs w:val="24"/>
        </w:rPr>
        <w:t>Se inaugurarán las Escuelas de Especialidades: la Prefectura Naval</w:t>
      </w:r>
      <w:r w:rsidR="00EB461E">
        <w:rPr>
          <w:sz w:val="24"/>
          <w:szCs w:val="24"/>
        </w:rPr>
        <w:t xml:space="preserve"> </w:t>
      </w:r>
      <w:r w:rsidRPr="005B03A5">
        <w:rPr>
          <w:sz w:val="24"/>
          <w:szCs w:val="24"/>
        </w:rPr>
        <w:t>Argentina estará a cargo de la Escuela de Aviación; la Gendarmería Nacional</w:t>
      </w:r>
      <w:r w:rsidR="00EB461E">
        <w:rPr>
          <w:sz w:val="24"/>
          <w:szCs w:val="24"/>
        </w:rPr>
        <w:t xml:space="preserve"> </w:t>
      </w:r>
      <w:r w:rsidRPr="005B03A5">
        <w:rPr>
          <w:sz w:val="24"/>
          <w:szCs w:val="24"/>
        </w:rPr>
        <w:t>Argentina estará al frente de la Escuela de Conducción de Drones; la Policía Federal</w:t>
      </w:r>
      <w:r w:rsidR="00EB461E">
        <w:rPr>
          <w:sz w:val="24"/>
          <w:szCs w:val="24"/>
        </w:rPr>
        <w:t xml:space="preserve"> </w:t>
      </w:r>
      <w:r w:rsidRPr="005B03A5">
        <w:rPr>
          <w:sz w:val="24"/>
          <w:szCs w:val="24"/>
        </w:rPr>
        <w:t>Argentina de la Escuela de Análisis de Imágenes y la Policía de Seguridad</w:t>
      </w:r>
      <w:r w:rsidR="00EB461E">
        <w:rPr>
          <w:sz w:val="24"/>
          <w:szCs w:val="24"/>
        </w:rPr>
        <w:t xml:space="preserve"> </w:t>
      </w:r>
      <w:r w:rsidRPr="005B03A5">
        <w:rPr>
          <w:sz w:val="24"/>
          <w:szCs w:val="24"/>
        </w:rPr>
        <w:t>Aeroportu</w:t>
      </w:r>
      <w:r w:rsidR="00EB461E">
        <w:rPr>
          <w:sz w:val="24"/>
          <w:szCs w:val="24"/>
        </w:rPr>
        <w:t>aria de la Escuela de Scanners.</w:t>
      </w:r>
    </w:p>
    <w:p w:rsidR="005B03A5" w:rsidRPr="005B03A5" w:rsidRDefault="005B03A5"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E650A4">
        <w:rPr>
          <w:b/>
          <w:sz w:val="24"/>
          <w:szCs w:val="24"/>
        </w:rPr>
        <w:t>INTEGRACIÓN INTELIGENTE AL MUNDO</w:t>
      </w:r>
      <w:r w:rsidR="00E650A4">
        <w:rPr>
          <w:sz w:val="24"/>
          <w:szCs w:val="24"/>
        </w:rPr>
        <w:t xml:space="preserve">:  </w:t>
      </w:r>
      <w:r w:rsidRPr="005B03A5">
        <w:rPr>
          <w:sz w:val="24"/>
          <w:szCs w:val="24"/>
        </w:rPr>
        <w:t xml:space="preserve">La agenda internacional de los próximos </w:t>
      </w:r>
      <w:r w:rsidR="00E650A4">
        <w:rPr>
          <w:sz w:val="24"/>
          <w:szCs w:val="24"/>
        </w:rPr>
        <w:t>años, e</w:t>
      </w:r>
      <w:r w:rsidRPr="005B03A5">
        <w:rPr>
          <w:sz w:val="24"/>
          <w:szCs w:val="24"/>
        </w:rPr>
        <w:t>n enero 2019 asumimos Presidencia Pro-Tempore del MERCOSUR,</w:t>
      </w:r>
      <w:r w:rsidR="00E650A4">
        <w:rPr>
          <w:sz w:val="24"/>
          <w:szCs w:val="24"/>
        </w:rPr>
        <w:t xml:space="preserve"> t</w:t>
      </w:r>
      <w:r w:rsidRPr="005B03A5">
        <w:rPr>
          <w:sz w:val="24"/>
          <w:szCs w:val="24"/>
        </w:rPr>
        <w:t>ambién fuimos</w:t>
      </w:r>
      <w:r w:rsidR="00E650A4">
        <w:rPr>
          <w:sz w:val="24"/>
          <w:szCs w:val="24"/>
        </w:rPr>
        <w:t xml:space="preserve"> </w:t>
      </w:r>
      <w:r w:rsidRPr="005B03A5">
        <w:rPr>
          <w:sz w:val="24"/>
          <w:szCs w:val="24"/>
        </w:rPr>
        <w:t>elegidos como sede de la próxima Exposición Universal Especializada, que tendrá</w:t>
      </w:r>
      <w:r w:rsidR="00E650A4">
        <w:rPr>
          <w:sz w:val="24"/>
          <w:szCs w:val="24"/>
        </w:rPr>
        <w:t xml:space="preserve"> </w:t>
      </w:r>
      <w:r w:rsidRPr="005B03A5">
        <w:rPr>
          <w:sz w:val="24"/>
          <w:szCs w:val="24"/>
        </w:rPr>
        <w:t>lugar en 2023, la primera de este tipo que se llevará a cabo en Latinoamérica y la</w:t>
      </w:r>
      <w:r w:rsidR="00E650A4">
        <w:rPr>
          <w:sz w:val="24"/>
          <w:szCs w:val="24"/>
        </w:rPr>
        <w:t xml:space="preserve"> </w:t>
      </w:r>
      <w:r w:rsidRPr="005B03A5">
        <w:rPr>
          <w:sz w:val="24"/>
          <w:szCs w:val="24"/>
        </w:rPr>
        <w:t>segunda en el Hemisferio Sur.</w:t>
      </w:r>
    </w:p>
    <w:p w:rsidR="00E650A4" w:rsidRDefault="00E650A4"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Para multiplicar las oportunidades para el crecimiento, impulsamos una</w:t>
      </w:r>
      <w:r w:rsidR="00E650A4">
        <w:rPr>
          <w:sz w:val="24"/>
          <w:szCs w:val="24"/>
        </w:rPr>
        <w:t xml:space="preserve"> </w:t>
      </w:r>
      <w:r w:rsidRPr="005B03A5">
        <w:rPr>
          <w:sz w:val="24"/>
          <w:szCs w:val="24"/>
        </w:rPr>
        <w:t>política de acercamiento a la Organización para la Cooperación y el Desarrollo</w:t>
      </w:r>
      <w:r w:rsidR="00E650A4">
        <w:rPr>
          <w:sz w:val="24"/>
          <w:szCs w:val="24"/>
        </w:rPr>
        <w:t xml:space="preserve"> </w:t>
      </w:r>
      <w:r w:rsidRPr="005B03A5">
        <w:rPr>
          <w:sz w:val="24"/>
          <w:szCs w:val="24"/>
        </w:rPr>
        <w:t>Económicos (OCDE). Un nuevo status en ese organismo nos va a permitir capitalizar</w:t>
      </w:r>
      <w:r w:rsidR="00E650A4">
        <w:rPr>
          <w:sz w:val="24"/>
          <w:szCs w:val="24"/>
        </w:rPr>
        <w:t xml:space="preserve"> </w:t>
      </w:r>
      <w:r w:rsidRPr="005B03A5">
        <w:rPr>
          <w:sz w:val="24"/>
          <w:szCs w:val="24"/>
        </w:rPr>
        <w:t>su experiencia y sus conocimientos sobre buenas prácticas, y mejorar las políticas</w:t>
      </w:r>
      <w:r w:rsidR="00E650A4">
        <w:rPr>
          <w:sz w:val="24"/>
          <w:szCs w:val="24"/>
        </w:rPr>
        <w:t xml:space="preserve"> </w:t>
      </w:r>
      <w:r w:rsidRPr="005B03A5">
        <w:rPr>
          <w:sz w:val="24"/>
          <w:szCs w:val="24"/>
        </w:rPr>
        <w:t>públicas en materia de transparencia y de gobernanza económica.</w:t>
      </w:r>
    </w:p>
    <w:p w:rsidR="00E650A4" w:rsidRDefault="00E650A4" w:rsidP="005B03A5">
      <w:pPr>
        <w:autoSpaceDE w:val="0"/>
        <w:autoSpaceDN w:val="0"/>
        <w:adjustRightInd w:val="0"/>
        <w:spacing w:after="0" w:line="240" w:lineRule="auto"/>
        <w:jc w:val="both"/>
        <w:rPr>
          <w:sz w:val="24"/>
          <w:szCs w:val="24"/>
        </w:rPr>
      </w:pPr>
    </w:p>
    <w:p w:rsidR="005B03A5" w:rsidRPr="005B03A5" w:rsidRDefault="005B03A5" w:rsidP="00E650A4">
      <w:pPr>
        <w:autoSpaceDE w:val="0"/>
        <w:autoSpaceDN w:val="0"/>
        <w:adjustRightInd w:val="0"/>
        <w:spacing w:after="0" w:line="240" w:lineRule="auto"/>
        <w:jc w:val="both"/>
        <w:rPr>
          <w:sz w:val="24"/>
          <w:szCs w:val="24"/>
        </w:rPr>
      </w:pPr>
      <w:r w:rsidRPr="005B03A5">
        <w:rPr>
          <w:sz w:val="24"/>
          <w:szCs w:val="24"/>
        </w:rPr>
        <w:t>En estos últimos tres años se abrieron más de 180 mercados</w:t>
      </w:r>
      <w:r w:rsidR="00E650A4">
        <w:rPr>
          <w:sz w:val="24"/>
          <w:szCs w:val="24"/>
        </w:rPr>
        <w:t xml:space="preserve"> </w:t>
      </w:r>
      <w:r w:rsidRPr="005B03A5">
        <w:rPr>
          <w:sz w:val="24"/>
          <w:szCs w:val="24"/>
        </w:rPr>
        <w:t>internacionales para los productos argentinos, y se seguirán buscando nuevos</w:t>
      </w:r>
      <w:r w:rsidR="00E650A4">
        <w:rPr>
          <w:sz w:val="24"/>
          <w:szCs w:val="24"/>
        </w:rPr>
        <w:t xml:space="preserve"> </w:t>
      </w:r>
      <w:r w:rsidRPr="005B03A5">
        <w:rPr>
          <w:sz w:val="24"/>
          <w:szCs w:val="24"/>
        </w:rPr>
        <w:t xml:space="preserve">destinos para la producción nacional. </w:t>
      </w:r>
    </w:p>
    <w:p w:rsidR="00E650A4" w:rsidRDefault="00E650A4" w:rsidP="005B03A5">
      <w:pPr>
        <w:autoSpaceDE w:val="0"/>
        <w:autoSpaceDN w:val="0"/>
        <w:adjustRightInd w:val="0"/>
        <w:spacing w:after="0" w:line="240" w:lineRule="auto"/>
        <w:jc w:val="both"/>
        <w:rPr>
          <w:sz w:val="24"/>
          <w:szCs w:val="24"/>
        </w:rPr>
      </w:pPr>
    </w:p>
    <w:p w:rsidR="005B03A5" w:rsidRPr="00E650A4" w:rsidRDefault="005B03A5" w:rsidP="005B03A5">
      <w:pPr>
        <w:autoSpaceDE w:val="0"/>
        <w:autoSpaceDN w:val="0"/>
        <w:adjustRightInd w:val="0"/>
        <w:spacing w:after="0" w:line="240" w:lineRule="auto"/>
        <w:jc w:val="both"/>
        <w:rPr>
          <w:b/>
          <w:sz w:val="24"/>
          <w:szCs w:val="24"/>
        </w:rPr>
      </w:pPr>
      <w:r w:rsidRPr="00E650A4">
        <w:rPr>
          <w:b/>
          <w:sz w:val="24"/>
          <w:szCs w:val="24"/>
        </w:rPr>
        <w:t>ECONOMÍA PARA CRECER</w:t>
      </w:r>
      <w:r w:rsidR="00E650A4">
        <w:rPr>
          <w:b/>
          <w:sz w:val="24"/>
          <w:szCs w:val="24"/>
        </w:rPr>
        <w:t xml:space="preserve">:  </w:t>
      </w:r>
      <w:r w:rsidRPr="005B03A5">
        <w:rPr>
          <w:sz w:val="24"/>
          <w:szCs w:val="24"/>
        </w:rPr>
        <w:t>En 2020, la política productiva seguirá teniendo a las PyME como pilar,</w:t>
      </w:r>
      <w:r w:rsidR="00E650A4">
        <w:rPr>
          <w:b/>
          <w:sz w:val="24"/>
          <w:szCs w:val="24"/>
        </w:rPr>
        <w:t xml:space="preserve"> </w:t>
      </w:r>
      <w:r w:rsidRPr="005B03A5">
        <w:rPr>
          <w:sz w:val="24"/>
          <w:szCs w:val="24"/>
        </w:rPr>
        <w:t>teniendo como objetivo central el fomento de la producción y el empleo. Para eso, se</w:t>
      </w:r>
      <w:r w:rsidR="00E650A4">
        <w:rPr>
          <w:b/>
          <w:sz w:val="24"/>
          <w:szCs w:val="24"/>
        </w:rPr>
        <w:t xml:space="preserve"> </w:t>
      </w:r>
      <w:r w:rsidRPr="005B03A5">
        <w:rPr>
          <w:sz w:val="24"/>
          <w:szCs w:val="24"/>
        </w:rPr>
        <w:t>seguirá impulsando la integración al mundo y se seguirá trabajando en un marco</w:t>
      </w:r>
    </w:p>
    <w:p w:rsidR="005B03A5" w:rsidRDefault="005B03A5" w:rsidP="00E650A4">
      <w:pPr>
        <w:autoSpaceDE w:val="0"/>
        <w:autoSpaceDN w:val="0"/>
        <w:adjustRightInd w:val="0"/>
        <w:spacing w:after="0" w:line="240" w:lineRule="auto"/>
        <w:jc w:val="both"/>
        <w:rPr>
          <w:sz w:val="24"/>
          <w:szCs w:val="24"/>
        </w:rPr>
      </w:pPr>
      <w:r w:rsidRPr="005B03A5">
        <w:rPr>
          <w:sz w:val="24"/>
          <w:szCs w:val="24"/>
        </w:rPr>
        <w:t>regulatorio para que la economía del</w:t>
      </w:r>
      <w:r w:rsidR="00E650A4">
        <w:rPr>
          <w:sz w:val="24"/>
          <w:szCs w:val="24"/>
        </w:rPr>
        <w:t xml:space="preserve"> conocimiento pueda</w:t>
      </w:r>
      <w:r w:rsidRPr="005B03A5">
        <w:rPr>
          <w:sz w:val="24"/>
          <w:szCs w:val="24"/>
        </w:rPr>
        <w:t xml:space="preserve"> ser cada vez más</w:t>
      </w:r>
      <w:r w:rsidR="00E650A4">
        <w:rPr>
          <w:sz w:val="24"/>
          <w:szCs w:val="24"/>
        </w:rPr>
        <w:t xml:space="preserve"> </w:t>
      </w:r>
      <w:r w:rsidRPr="005B03A5">
        <w:rPr>
          <w:sz w:val="24"/>
          <w:szCs w:val="24"/>
        </w:rPr>
        <w:t xml:space="preserve">relevante en un mundo globalizado y competitivo. </w:t>
      </w:r>
    </w:p>
    <w:p w:rsidR="00E650A4" w:rsidRPr="005B03A5" w:rsidRDefault="00E650A4" w:rsidP="00E650A4">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lastRenderedPageBreak/>
        <w:t>En 2019 el Gobierno avanzó una agenda orientada a la transformación</w:t>
      </w:r>
      <w:r w:rsidR="00E650A4">
        <w:rPr>
          <w:sz w:val="24"/>
          <w:szCs w:val="24"/>
        </w:rPr>
        <w:t xml:space="preserve"> </w:t>
      </w:r>
      <w:r w:rsidRPr="005B03A5">
        <w:rPr>
          <w:sz w:val="24"/>
          <w:szCs w:val="24"/>
        </w:rPr>
        <w:t>productiva, apoyada en la reforma tributaria de 2017, que redujo impuestos al trabajo</w:t>
      </w:r>
      <w:r w:rsidR="00E650A4">
        <w:rPr>
          <w:sz w:val="24"/>
          <w:szCs w:val="24"/>
        </w:rPr>
        <w:t xml:space="preserve"> </w:t>
      </w:r>
      <w:r w:rsidRPr="005B03A5">
        <w:rPr>
          <w:sz w:val="24"/>
          <w:szCs w:val="24"/>
        </w:rPr>
        <w:t>y a la inversión. Para contener a las economías regionales, se adelantó el aumento</w:t>
      </w:r>
      <w:r w:rsidR="00E650A4">
        <w:rPr>
          <w:sz w:val="24"/>
          <w:szCs w:val="24"/>
        </w:rPr>
        <w:t xml:space="preserve"> </w:t>
      </w:r>
      <w:r w:rsidRPr="005B03A5">
        <w:rPr>
          <w:sz w:val="24"/>
          <w:szCs w:val="24"/>
        </w:rPr>
        <w:t>del mínimo no imponible en las contribuciones patronales, una medida que impacta</w:t>
      </w:r>
      <w:r w:rsidR="00E650A4">
        <w:rPr>
          <w:sz w:val="24"/>
          <w:szCs w:val="24"/>
        </w:rPr>
        <w:t xml:space="preserve"> </w:t>
      </w:r>
      <w:r w:rsidRPr="005B03A5">
        <w:rPr>
          <w:sz w:val="24"/>
          <w:szCs w:val="24"/>
        </w:rPr>
        <w:t>positivamente en 25.000 empresas y 230.000 trabajadores.</w:t>
      </w:r>
    </w:p>
    <w:p w:rsidR="00E650A4" w:rsidRDefault="00E650A4"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2019 se aprobó por unanimidad la Ley N° 27.506 R égimen de</w:t>
      </w:r>
      <w:r w:rsidR="00E650A4">
        <w:rPr>
          <w:sz w:val="24"/>
          <w:szCs w:val="24"/>
        </w:rPr>
        <w:t xml:space="preserve"> </w:t>
      </w:r>
      <w:r w:rsidRPr="005B03A5">
        <w:rPr>
          <w:sz w:val="24"/>
          <w:szCs w:val="24"/>
        </w:rPr>
        <w:t>Promoción de la Economía del Conocimiento, que amplía los alcances de la Ley N°</w:t>
      </w:r>
      <w:r w:rsidR="00E650A4">
        <w:rPr>
          <w:sz w:val="24"/>
          <w:szCs w:val="24"/>
        </w:rPr>
        <w:t xml:space="preserve"> </w:t>
      </w:r>
      <w:r w:rsidRPr="005B03A5">
        <w:rPr>
          <w:sz w:val="24"/>
          <w:szCs w:val="24"/>
        </w:rPr>
        <w:t>25.922 de Promoción de la Industria del Software y su modificatoria N° 26.692, y la</w:t>
      </w:r>
      <w:r w:rsidR="00E650A4">
        <w:rPr>
          <w:sz w:val="24"/>
          <w:szCs w:val="24"/>
        </w:rPr>
        <w:t xml:space="preserve"> </w:t>
      </w:r>
      <w:r w:rsidRPr="005B03A5">
        <w:rPr>
          <w:sz w:val="24"/>
          <w:szCs w:val="24"/>
        </w:rPr>
        <w:t>actualiza a la nueva realidad del sector. Con esta ley, se redujo el costo laboral dado</w:t>
      </w:r>
      <w:r w:rsidR="00E650A4">
        <w:rPr>
          <w:sz w:val="24"/>
          <w:szCs w:val="24"/>
        </w:rPr>
        <w:t xml:space="preserve"> </w:t>
      </w:r>
      <w:r w:rsidRPr="005B03A5">
        <w:rPr>
          <w:sz w:val="24"/>
          <w:szCs w:val="24"/>
        </w:rPr>
        <w:t>que el mínimo no imponible fijado para el pago de contribuciones patronales es el</w:t>
      </w:r>
      <w:r w:rsidR="00E650A4">
        <w:rPr>
          <w:sz w:val="24"/>
          <w:szCs w:val="24"/>
        </w:rPr>
        <w:t xml:space="preserve"> </w:t>
      </w:r>
      <w:r w:rsidRPr="005B03A5">
        <w:rPr>
          <w:sz w:val="24"/>
          <w:szCs w:val="24"/>
        </w:rPr>
        <w:t>doble del fijado para el resto de la economía en la reforma tributaria.</w:t>
      </w:r>
      <w:r w:rsidR="00E650A4">
        <w:rPr>
          <w:sz w:val="24"/>
          <w:szCs w:val="24"/>
        </w:rPr>
        <w:t xml:space="preserve"> </w:t>
      </w:r>
      <w:r w:rsidRPr="005B03A5">
        <w:rPr>
          <w:sz w:val="24"/>
          <w:szCs w:val="24"/>
        </w:rPr>
        <w:t xml:space="preserve"> Además, la</w:t>
      </w:r>
      <w:r w:rsidR="00E650A4">
        <w:rPr>
          <w:sz w:val="24"/>
          <w:szCs w:val="24"/>
        </w:rPr>
        <w:t xml:space="preserve"> </w:t>
      </w:r>
      <w:r w:rsidRPr="005B03A5">
        <w:rPr>
          <w:sz w:val="24"/>
          <w:szCs w:val="24"/>
        </w:rPr>
        <w:t>alícuota del impuesto a las ganancias pasó a ser del 15% y se ejecutan medidas</w:t>
      </w:r>
      <w:r w:rsidR="00E650A4">
        <w:rPr>
          <w:sz w:val="24"/>
          <w:szCs w:val="24"/>
        </w:rPr>
        <w:t xml:space="preserve"> </w:t>
      </w:r>
      <w:r w:rsidRPr="005B03A5">
        <w:rPr>
          <w:sz w:val="24"/>
          <w:szCs w:val="24"/>
        </w:rPr>
        <w:t>para fomentar la creación de nuevas empresas y facilidades logísticas para la</w:t>
      </w:r>
      <w:r w:rsidR="00E650A4">
        <w:rPr>
          <w:sz w:val="24"/>
          <w:szCs w:val="24"/>
        </w:rPr>
        <w:t xml:space="preserve"> </w:t>
      </w:r>
      <w:r w:rsidRPr="005B03A5">
        <w:rPr>
          <w:sz w:val="24"/>
          <w:szCs w:val="24"/>
        </w:rPr>
        <w:t>exportación.</w:t>
      </w:r>
    </w:p>
    <w:p w:rsidR="00E650A4" w:rsidRDefault="00E650A4" w:rsidP="005B03A5">
      <w:pPr>
        <w:autoSpaceDE w:val="0"/>
        <w:autoSpaceDN w:val="0"/>
        <w:adjustRightInd w:val="0"/>
        <w:spacing w:after="0" w:line="240" w:lineRule="auto"/>
        <w:jc w:val="both"/>
        <w:rPr>
          <w:sz w:val="24"/>
          <w:szCs w:val="24"/>
        </w:rPr>
      </w:pPr>
    </w:p>
    <w:p w:rsidR="00E650A4" w:rsidRPr="005B03A5" w:rsidRDefault="005B03A5" w:rsidP="00E650A4">
      <w:pPr>
        <w:autoSpaceDE w:val="0"/>
        <w:autoSpaceDN w:val="0"/>
        <w:adjustRightInd w:val="0"/>
        <w:spacing w:after="0" w:line="240" w:lineRule="auto"/>
        <w:jc w:val="both"/>
        <w:rPr>
          <w:sz w:val="24"/>
          <w:szCs w:val="24"/>
        </w:rPr>
      </w:pPr>
      <w:r w:rsidRPr="005B03A5">
        <w:rPr>
          <w:sz w:val="24"/>
          <w:szCs w:val="24"/>
        </w:rPr>
        <w:t>Para evitar distorsiones en el comercio interno, se aprobó el Decreto N°</w:t>
      </w:r>
      <w:r w:rsidR="00E650A4">
        <w:rPr>
          <w:sz w:val="24"/>
          <w:szCs w:val="24"/>
        </w:rPr>
        <w:t xml:space="preserve"> </w:t>
      </w:r>
      <w:r w:rsidRPr="005B03A5">
        <w:rPr>
          <w:sz w:val="24"/>
          <w:szCs w:val="24"/>
        </w:rPr>
        <w:t>274 del 17 de abril de 2019 en relación con, entre otras, la Ley N° 22.802 de Lealtad</w:t>
      </w:r>
      <w:r w:rsidR="00E650A4">
        <w:rPr>
          <w:sz w:val="24"/>
          <w:szCs w:val="24"/>
        </w:rPr>
        <w:t xml:space="preserve"> </w:t>
      </w:r>
      <w:r w:rsidRPr="005B03A5">
        <w:rPr>
          <w:sz w:val="24"/>
          <w:szCs w:val="24"/>
        </w:rPr>
        <w:t xml:space="preserve">comercial y sus modificatorias. </w:t>
      </w:r>
    </w:p>
    <w:p w:rsidR="00E650A4" w:rsidRDefault="00E650A4" w:rsidP="005B03A5">
      <w:pPr>
        <w:autoSpaceDE w:val="0"/>
        <w:autoSpaceDN w:val="0"/>
        <w:adjustRightInd w:val="0"/>
        <w:spacing w:after="0" w:line="240" w:lineRule="auto"/>
        <w:jc w:val="both"/>
        <w:rPr>
          <w:sz w:val="24"/>
          <w:szCs w:val="24"/>
        </w:rPr>
      </w:pPr>
    </w:p>
    <w:p w:rsidR="00E650A4" w:rsidRDefault="005B03A5" w:rsidP="005B03A5">
      <w:pPr>
        <w:autoSpaceDE w:val="0"/>
        <w:autoSpaceDN w:val="0"/>
        <w:adjustRightInd w:val="0"/>
        <w:spacing w:after="0" w:line="240" w:lineRule="auto"/>
        <w:jc w:val="both"/>
        <w:rPr>
          <w:sz w:val="24"/>
          <w:szCs w:val="24"/>
        </w:rPr>
      </w:pPr>
      <w:r w:rsidRPr="005B03A5">
        <w:rPr>
          <w:sz w:val="24"/>
          <w:szCs w:val="24"/>
        </w:rPr>
        <w:t>Las obras viales reducen entre un 9% y un 12% los costos operativos.</w:t>
      </w:r>
      <w:r w:rsidR="00E650A4">
        <w:rPr>
          <w:sz w:val="24"/>
          <w:szCs w:val="24"/>
        </w:rPr>
        <w:t xml:space="preserve"> </w:t>
      </w:r>
      <w:r w:rsidRPr="005B03A5">
        <w:rPr>
          <w:sz w:val="24"/>
          <w:szCs w:val="24"/>
        </w:rPr>
        <w:t>En estos tres años se intervinieron 2.800 kilómetros de autopistas (entre finalizados,</w:t>
      </w:r>
      <w:r w:rsidR="00E650A4">
        <w:rPr>
          <w:sz w:val="24"/>
          <w:szCs w:val="24"/>
        </w:rPr>
        <w:t xml:space="preserve"> </w:t>
      </w:r>
      <w:r w:rsidRPr="005B03A5">
        <w:rPr>
          <w:sz w:val="24"/>
          <w:szCs w:val="24"/>
        </w:rPr>
        <w:t>en ejecución y contratados). También se habilitó la circulación de bitrenes, que</w:t>
      </w:r>
      <w:r w:rsidR="00E650A4">
        <w:rPr>
          <w:sz w:val="24"/>
          <w:szCs w:val="24"/>
        </w:rPr>
        <w:t xml:space="preserve"> </w:t>
      </w:r>
      <w:r w:rsidRPr="005B03A5">
        <w:rPr>
          <w:sz w:val="24"/>
          <w:szCs w:val="24"/>
        </w:rPr>
        <w:t>permiten transportar más carga a menor costo y de manera más segura.</w:t>
      </w:r>
      <w:r w:rsidR="00E650A4">
        <w:rPr>
          <w:sz w:val="24"/>
          <w:szCs w:val="24"/>
        </w:rPr>
        <w:t xml:space="preserve"> </w:t>
      </w:r>
    </w:p>
    <w:p w:rsidR="00E650A4" w:rsidRDefault="00E650A4" w:rsidP="005B03A5">
      <w:pPr>
        <w:autoSpaceDE w:val="0"/>
        <w:autoSpaceDN w:val="0"/>
        <w:adjustRightInd w:val="0"/>
        <w:spacing w:after="0" w:line="240" w:lineRule="auto"/>
        <w:jc w:val="both"/>
        <w:rPr>
          <w:sz w:val="24"/>
          <w:szCs w:val="24"/>
        </w:rPr>
      </w:pPr>
    </w:p>
    <w:p w:rsidR="00E650A4" w:rsidRDefault="005B03A5" w:rsidP="00E650A4">
      <w:pPr>
        <w:autoSpaceDE w:val="0"/>
        <w:autoSpaceDN w:val="0"/>
        <w:adjustRightInd w:val="0"/>
        <w:spacing w:after="0" w:line="240" w:lineRule="auto"/>
        <w:jc w:val="both"/>
        <w:rPr>
          <w:sz w:val="24"/>
          <w:szCs w:val="24"/>
        </w:rPr>
      </w:pPr>
      <w:r w:rsidRPr="005B03A5">
        <w:rPr>
          <w:sz w:val="24"/>
          <w:szCs w:val="24"/>
        </w:rPr>
        <w:t>Además, se mejoró la infraestructura y funcionamiento de los puertos y</w:t>
      </w:r>
      <w:r w:rsidR="00E650A4">
        <w:rPr>
          <w:sz w:val="24"/>
          <w:szCs w:val="24"/>
        </w:rPr>
        <w:t xml:space="preserve"> </w:t>
      </w:r>
      <w:r w:rsidRPr="005B03A5">
        <w:rPr>
          <w:sz w:val="24"/>
          <w:szCs w:val="24"/>
        </w:rPr>
        <w:t>se le dio un nuevo impulso al tren de cargas. El Gobierno mejoró más de 800</w:t>
      </w:r>
      <w:r w:rsidR="00E650A4">
        <w:rPr>
          <w:sz w:val="24"/>
          <w:szCs w:val="24"/>
        </w:rPr>
        <w:t xml:space="preserve"> </w:t>
      </w:r>
      <w:r w:rsidRPr="005B03A5">
        <w:rPr>
          <w:sz w:val="24"/>
          <w:szCs w:val="24"/>
        </w:rPr>
        <w:t xml:space="preserve">kilómetros de vías sobre la traza de las líneas Belgrano, San Martín y Urquiza. </w:t>
      </w:r>
    </w:p>
    <w:p w:rsidR="00E650A4" w:rsidRDefault="00E650A4" w:rsidP="00E650A4">
      <w:pPr>
        <w:autoSpaceDE w:val="0"/>
        <w:autoSpaceDN w:val="0"/>
        <w:adjustRightInd w:val="0"/>
        <w:spacing w:after="0" w:line="240" w:lineRule="auto"/>
        <w:jc w:val="both"/>
        <w:rPr>
          <w:sz w:val="24"/>
          <w:szCs w:val="24"/>
        </w:rPr>
      </w:pPr>
    </w:p>
    <w:p w:rsidR="00E27746" w:rsidRDefault="005B03A5" w:rsidP="005B03A5">
      <w:pPr>
        <w:autoSpaceDE w:val="0"/>
        <w:autoSpaceDN w:val="0"/>
        <w:adjustRightInd w:val="0"/>
        <w:spacing w:after="0" w:line="240" w:lineRule="auto"/>
        <w:jc w:val="both"/>
        <w:rPr>
          <w:sz w:val="24"/>
          <w:szCs w:val="24"/>
        </w:rPr>
      </w:pPr>
      <w:r w:rsidRPr="005B03A5">
        <w:rPr>
          <w:sz w:val="24"/>
          <w:szCs w:val="24"/>
        </w:rPr>
        <w:t>También se redujeron los costos logísticos para el sistema de puertos y</w:t>
      </w:r>
      <w:r w:rsidR="00E650A4">
        <w:rPr>
          <w:sz w:val="24"/>
          <w:szCs w:val="24"/>
        </w:rPr>
        <w:t xml:space="preserve"> </w:t>
      </w:r>
      <w:r w:rsidRPr="005B03A5">
        <w:rPr>
          <w:sz w:val="24"/>
          <w:szCs w:val="24"/>
        </w:rPr>
        <w:t>vías navegables y obras como las del Paseo del Bajo mejoraron los accesos. Hubo</w:t>
      </w:r>
      <w:r w:rsidR="00E650A4">
        <w:rPr>
          <w:sz w:val="24"/>
          <w:szCs w:val="24"/>
        </w:rPr>
        <w:t xml:space="preserve"> </w:t>
      </w:r>
      <w:r w:rsidRPr="005B03A5">
        <w:rPr>
          <w:sz w:val="24"/>
          <w:szCs w:val="24"/>
        </w:rPr>
        <w:t>rebajas en las tasas de remolcadores, costos de</w:t>
      </w:r>
      <w:r w:rsidR="00E27746">
        <w:rPr>
          <w:sz w:val="24"/>
          <w:szCs w:val="24"/>
        </w:rPr>
        <w:t xml:space="preserve"> estiba, amarre y lanchaje y la </w:t>
      </w:r>
      <w:r w:rsidRPr="005B03A5">
        <w:rPr>
          <w:sz w:val="24"/>
          <w:szCs w:val="24"/>
        </w:rPr>
        <w:t>máxima para practicaje. Van desde el 20</w:t>
      </w:r>
      <w:r w:rsidR="00E27746">
        <w:rPr>
          <w:sz w:val="24"/>
          <w:szCs w:val="24"/>
        </w:rPr>
        <w:t xml:space="preserve">% al 50% y se está mejorando la </w:t>
      </w:r>
      <w:r w:rsidRPr="005B03A5">
        <w:rPr>
          <w:sz w:val="24"/>
          <w:szCs w:val="24"/>
        </w:rPr>
        <w:t xml:space="preserve">infraestructura de los puertos más grandes del país. </w:t>
      </w:r>
    </w:p>
    <w:p w:rsidR="00E27746" w:rsidRDefault="00E27746" w:rsidP="005B03A5">
      <w:pPr>
        <w:autoSpaceDE w:val="0"/>
        <w:autoSpaceDN w:val="0"/>
        <w:adjustRightInd w:val="0"/>
        <w:spacing w:after="0" w:line="240" w:lineRule="auto"/>
        <w:jc w:val="both"/>
        <w:rPr>
          <w:sz w:val="24"/>
          <w:szCs w:val="24"/>
        </w:rPr>
      </w:pPr>
    </w:p>
    <w:p w:rsidR="005B03A5" w:rsidRPr="005B03A5" w:rsidRDefault="00E27746" w:rsidP="005B03A5">
      <w:pPr>
        <w:autoSpaceDE w:val="0"/>
        <w:autoSpaceDN w:val="0"/>
        <w:adjustRightInd w:val="0"/>
        <w:spacing w:after="0" w:line="240" w:lineRule="auto"/>
        <w:jc w:val="both"/>
        <w:rPr>
          <w:sz w:val="24"/>
          <w:szCs w:val="24"/>
        </w:rPr>
      </w:pPr>
      <w:r>
        <w:rPr>
          <w:sz w:val="24"/>
          <w:szCs w:val="24"/>
        </w:rPr>
        <w:t xml:space="preserve">En el Mensaje sostienen que el gobierno viene </w:t>
      </w:r>
      <w:r w:rsidR="005B03A5" w:rsidRPr="005B03A5">
        <w:rPr>
          <w:sz w:val="24"/>
          <w:szCs w:val="24"/>
        </w:rPr>
        <w:t>ejecutando u</w:t>
      </w:r>
      <w:r>
        <w:rPr>
          <w:sz w:val="24"/>
          <w:szCs w:val="24"/>
        </w:rPr>
        <w:t xml:space="preserve">na estrategia para convertir el </w:t>
      </w:r>
      <w:r w:rsidR="005B03A5" w:rsidRPr="005B03A5">
        <w:rPr>
          <w:sz w:val="24"/>
          <w:szCs w:val="24"/>
        </w:rPr>
        <w:t xml:space="preserve">turismo en un motor de crecimiento económico. Mejorar </w:t>
      </w:r>
      <w:r>
        <w:rPr>
          <w:sz w:val="24"/>
          <w:szCs w:val="24"/>
        </w:rPr>
        <w:t xml:space="preserve">la conectividad y facilitar los </w:t>
      </w:r>
      <w:r w:rsidR="005B03A5" w:rsidRPr="005B03A5">
        <w:rPr>
          <w:sz w:val="24"/>
          <w:szCs w:val="24"/>
        </w:rPr>
        <w:t>viajes fue un eje clave de esta estrategia, y ya mo</w:t>
      </w:r>
      <w:r>
        <w:rPr>
          <w:sz w:val="24"/>
          <w:szCs w:val="24"/>
        </w:rPr>
        <w:t xml:space="preserve">stró resultados. Los arribos de </w:t>
      </w:r>
      <w:r w:rsidR="005B03A5" w:rsidRPr="005B03A5">
        <w:rPr>
          <w:sz w:val="24"/>
          <w:szCs w:val="24"/>
        </w:rPr>
        <w:t>turistas internacionales por vía aérea llevan tres añ</w:t>
      </w:r>
      <w:r>
        <w:rPr>
          <w:sz w:val="24"/>
          <w:szCs w:val="24"/>
        </w:rPr>
        <w:t xml:space="preserve">os de crecimiento sostenido. En </w:t>
      </w:r>
      <w:r w:rsidR="005B03A5" w:rsidRPr="005B03A5">
        <w:rPr>
          <w:sz w:val="24"/>
          <w:szCs w:val="24"/>
        </w:rPr>
        <w:t>el primer trimestre de 2019 llegaron a la Argentina 8</w:t>
      </w:r>
      <w:r>
        <w:rPr>
          <w:sz w:val="24"/>
          <w:szCs w:val="24"/>
        </w:rPr>
        <w:t xml:space="preserve">39.700 turistas internacionales </w:t>
      </w:r>
      <w:r w:rsidR="005B03A5" w:rsidRPr="005B03A5">
        <w:rPr>
          <w:sz w:val="24"/>
          <w:szCs w:val="24"/>
        </w:rPr>
        <w:t>por vía aérea, un 23% más que en el mismo perí</w:t>
      </w:r>
      <w:r>
        <w:rPr>
          <w:sz w:val="24"/>
          <w:szCs w:val="24"/>
        </w:rPr>
        <w:t xml:space="preserve">odo de 2018. El turismo interno </w:t>
      </w:r>
      <w:r w:rsidR="005B03A5" w:rsidRPr="005B03A5">
        <w:rPr>
          <w:sz w:val="24"/>
          <w:szCs w:val="24"/>
        </w:rPr>
        <w:t xml:space="preserve">también reaccionó ante la mejora en los precios y </w:t>
      </w:r>
      <w:r>
        <w:rPr>
          <w:sz w:val="24"/>
          <w:szCs w:val="24"/>
        </w:rPr>
        <w:t xml:space="preserve">la mayor cantidad de rutas: hoy </w:t>
      </w:r>
      <w:r w:rsidR="005B03A5" w:rsidRPr="005B03A5">
        <w:rPr>
          <w:sz w:val="24"/>
          <w:szCs w:val="24"/>
        </w:rPr>
        <w:t>hay un 38% más de pasajeros en vuelos de cabotaje que en 2015.</w:t>
      </w:r>
    </w:p>
    <w:p w:rsidR="00E27746" w:rsidRDefault="00E27746" w:rsidP="005B03A5">
      <w:pPr>
        <w:autoSpaceDE w:val="0"/>
        <w:autoSpaceDN w:val="0"/>
        <w:adjustRightInd w:val="0"/>
        <w:spacing w:after="0" w:line="240" w:lineRule="auto"/>
        <w:jc w:val="both"/>
        <w:rPr>
          <w:sz w:val="24"/>
          <w:szCs w:val="24"/>
        </w:rPr>
      </w:pPr>
    </w:p>
    <w:p w:rsidR="005B03A5" w:rsidRPr="005B03A5" w:rsidRDefault="00E27746" w:rsidP="00E27746">
      <w:pPr>
        <w:autoSpaceDE w:val="0"/>
        <w:autoSpaceDN w:val="0"/>
        <w:adjustRightInd w:val="0"/>
        <w:spacing w:after="0" w:line="240" w:lineRule="auto"/>
        <w:jc w:val="both"/>
        <w:rPr>
          <w:sz w:val="24"/>
          <w:szCs w:val="24"/>
        </w:rPr>
      </w:pPr>
      <w:r>
        <w:rPr>
          <w:sz w:val="24"/>
          <w:szCs w:val="24"/>
        </w:rPr>
        <w:t>También dicen que e</w:t>
      </w:r>
      <w:r w:rsidR="005B03A5" w:rsidRPr="005B03A5">
        <w:rPr>
          <w:sz w:val="24"/>
          <w:szCs w:val="24"/>
        </w:rPr>
        <w:t>n estos tres años tamb</w:t>
      </w:r>
      <w:r>
        <w:rPr>
          <w:sz w:val="24"/>
          <w:szCs w:val="24"/>
        </w:rPr>
        <w:t xml:space="preserve">ién se impulsó el despliegue de </w:t>
      </w:r>
      <w:r w:rsidR="005B03A5" w:rsidRPr="005B03A5">
        <w:rPr>
          <w:sz w:val="24"/>
          <w:szCs w:val="24"/>
        </w:rPr>
        <w:t>infraestructura en conectividad y una política</w:t>
      </w:r>
      <w:r>
        <w:rPr>
          <w:sz w:val="24"/>
          <w:szCs w:val="24"/>
        </w:rPr>
        <w:t xml:space="preserve"> de telecomunicaciones moderna, </w:t>
      </w:r>
      <w:r w:rsidR="005B03A5" w:rsidRPr="005B03A5">
        <w:rPr>
          <w:sz w:val="24"/>
          <w:szCs w:val="24"/>
        </w:rPr>
        <w:t>que busca incentivar las inversiones y la competencia</w:t>
      </w:r>
      <w:r>
        <w:rPr>
          <w:sz w:val="24"/>
          <w:szCs w:val="24"/>
        </w:rPr>
        <w:t xml:space="preserve">, con el objetivo de conectar a </w:t>
      </w:r>
      <w:r w:rsidR="005B03A5" w:rsidRPr="005B03A5">
        <w:rPr>
          <w:sz w:val="24"/>
          <w:szCs w:val="24"/>
        </w:rPr>
        <w:t xml:space="preserve">los argentinos entre sí y con el mundo. </w:t>
      </w:r>
    </w:p>
    <w:p w:rsidR="00E27746" w:rsidRDefault="00E27746"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lastRenderedPageBreak/>
        <w:t xml:space="preserve">En 2015, el país tenía 6,82 millones de </w:t>
      </w:r>
      <w:r w:rsidR="00E27746">
        <w:rPr>
          <w:sz w:val="24"/>
          <w:szCs w:val="24"/>
        </w:rPr>
        <w:t xml:space="preserve">accesos de Internet en hogares, </w:t>
      </w:r>
      <w:r w:rsidRPr="005B03A5">
        <w:rPr>
          <w:sz w:val="24"/>
          <w:szCs w:val="24"/>
        </w:rPr>
        <w:t>en enero de 2019 tiene 8,35 millones (un 20%</w:t>
      </w:r>
      <w:r w:rsidR="00E27746">
        <w:rPr>
          <w:sz w:val="24"/>
          <w:szCs w:val="24"/>
        </w:rPr>
        <w:t xml:space="preserve"> más). La velocidad promedio de </w:t>
      </w:r>
      <w:r w:rsidRPr="005B03A5">
        <w:rPr>
          <w:sz w:val="24"/>
          <w:szCs w:val="24"/>
        </w:rPr>
        <w:t xml:space="preserve">Internet fija era de 4,5 megabits por segundo, hoy </w:t>
      </w:r>
      <w:r w:rsidR="00E27746">
        <w:rPr>
          <w:sz w:val="24"/>
          <w:szCs w:val="24"/>
        </w:rPr>
        <w:t xml:space="preserve">es de 16 megabits por segundo y </w:t>
      </w:r>
      <w:r w:rsidRPr="005B03A5">
        <w:rPr>
          <w:sz w:val="24"/>
          <w:szCs w:val="24"/>
        </w:rPr>
        <w:t>buscamos superar los 20 megabits por segund</w:t>
      </w:r>
      <w:r w:rsidR="00E27746">
        <w:rPr>
          <w:sz w:val="24"/>
          <w:szCs w:val="24"/>
        </w:rPr>
        <w:t xml:space="preserve">o en 2019. También tenemos como </w:t>
      </w:r>
      <w:r w:rsidRPr="005B03A5">
        <w:rPr>
          <w:sz w:val="24"/>
          <w:szCs w:val="24"/>
        </w:rPr>
        <w:t>meta para el año que viene que el despliegue de 4G alcance a toda la población.</w:t>
      </w:r>
    </w:p>
    <w:p w:rsidR="00E27746" w:rsidRDefault="00E27746" w:rsidP="005B03A5">
      <w:pPr>
        <w:autoSpaceDE w:val="0"/>
        <w:autoSpaceDN w:val="0"/>
        <w:adjustRightInd w:val="0"/>
        <w:spacing w:after="0" w:line="240" w:lineRule="auto"/>
        <w:jc w:val="both"/>
        <w:rPr>
          <w:sz w:val="24"/>
          <w:szCs w:val="24"/>
        </w:rPr>
      </w:pPr>
    </w:p>
    <w:p w:rsidR="00E27746" w:rsidRDefault="00E27746" w:rsidP="005B03A5">
      <w:pPr>
        <w:autoSpaceDE w:val="0"/>
        <w:autoSpaceDN w:val="0"/>
        <w:adjustRightInd w:val="0"/>
        <w:spacing w:after="0" w:line="240" w:lineRule="auto"/>
        <w:jc w:val="both"/>
        <w:rPr>
          <w:sz w:val="24"/>
          <w:szCs w:val="24"/>
        </w:rPr>
      </w:pPr>
    </w:p>
    <w:p w:rsidR="005B03A5" w:rsidRDefault="005B03A5" w:rsidP="005B03A5">
      <w:pPr>
        <w:autoSpaceDE w:val="0"/>
        <w:autoSpaceDN w:val="0"/>
        <w:adjustRightInd w:val="0"/>
        <w:spacing w:after="0" w:line="240" w:lineRule="auto"/>
        <w:jc w:val="both"/>
        <w:rPr>
          <w:sz w:val="24"/>
          <w:szCs w:val="24"/>
        </w:rPr>
      </w:pPr>
      <w:r w:rsidRPr="005B03A5">
        <w:rPr>
          <w:sz w:val="24"/>
          <w:szCs w:val="24"/>
        </w:rPr>
        <w:t>A través de ARSAT, conectamos a má</w:t>
      </w:r>
      <w:r w:rsidR="00E27746">
        <w:rPr>
          <w:sz w:val="24"/>
          <w:szCs w:val="24"/>
        </w:rPr>
        <w:t xml:space="preserve">s de 700 pequeñas localidades e </w:t>
      </w:r>
      <w:r w:rsidRPr="005B03A5">
        <w:rPr>
          <w:sz w:val="24"/>
          <w:szCs w:val="24"/>
        </w:rPr>
        <w:t>iluminamos la fibra óptica que tenemos extendid</w:t>
      </w:r>
      <w:r w:rsidR="00E27746">
        <w:rPr>
          <w:sz w:val="24"/>
          <w:szCs w:val="24"/>
        </w:rPr>
        <w:t xml:space="preserve">a por todo el país. A fin de la </w:t>
      </w:r>
      <w:r w:rsidRPr="005B03A5">
        <w:rPr>
          <w:sz w:val="24"/>
          <w:szCs w:val="24"/>
        </w:rPr>
        <w:t>gestión, habremos conectado 1.300 localidades a</w:t>
      </w:r>
      <w:r w:rsidR="00E27746">
        <w:rPr>
          <w:sz w:val="24"/>
          <w:szCs w:val="24"/>
        </w:rPr>
        <w:t xml:space="preserve"> través de 33.000 kilómetros de </w:t>
      </w:r>
      <w:r w:rsidRPr="005B03A5">
        <w:rPr>
          <w:sz w:val="24"/>
          <w:szCs w:val="24"/>
        </w:rPr>
        <w:t>fibra óptica iluminados.</w:t>
      </w:r>
    </w:p>
    <w:p w:rsidR="00E27746" w:rsidRPr="00E27746" w:rsidRDefault="00E27746" w:rsidP="005B03A5">
      <w:pPr>
        <w:autoSpaceDE w:val="0"/>
        <w:autoSpaceDN w:val="0"/>
        <w:adjustRightInd w:val="0"/>
        <w:spacing w:after="0" w:line="240" w:lineRule="auto"/>
        <w:jc w:val="both"/>
        <w:rPr>
          <w:b/>
          <w:sz w:val="24"/>
          <w:szCs w:val="24"/>
        </w:rPr>
      </w:pPr>
    </w:p>
    <w:p w:rsidR="005B03A5" w:rsidRPr="00E27746" w:rsidRDefault="005B03A5" w:rsidP="005B03A5">
      <w:pPr>
        <w:autoSpaceDE w:val="0"/>
        <w:autoSpaceDN w:val="0"/>
        <w:adjustRightInd w:val="0"/>
        <w:spacing w:after="0" w:line="240" w:lineRule="auto"/>
        <w:jc w:val="both"/>
        <w:rPr>
          <w:b/>
          <w:sz w:val="24"/>
          <w:szCs w:val="24"/>
        </w:rPr>
      </w:pPr>
      <w:r w:rsidRPr="00E27746">
        <w:rPr>
          <w:b/>
          <w:sz w:val="24"/>
          <w:szCs w:val="24"/>
        </w:rPr>
        <w:t>DESARROLLO HUMANO</w:t>
      </w:r>
      <w:r w:rsidR="00E27746">
        <w:rPr>
          <w:b/>
          <w:sz w:val="24"/>
          <w:szCs w:val="24"/>
        </w:rPr>
        <w:t xml:space="preserve">: </w:t>
      </w:r>
      <w:r w:rsidRPr="005B03A5">
        <w:rPr>
          <w:sz w:val="24"/>
          <w:szCs w:val="24"/>
        </w:rPr>
        <w:t>En los últimos tres años, uno de los objetivos principales fue asegurar</w:t>
      </w:r>
      <w:r w:rsidR="00E27746">
        <w:rPr>
          <w:b/>
          <w:sz w:val="24"/>
          <w:szCs w:val="24"/>
        </w:rPr>
        <w:t xml:space="preserve"> </w:t>
      </w:r>
      <w:r w:rsidRPr="005B03A5">
        <w:rPr>
          <w:sz w:val="24"/>
          <w:szCs w:val="24"/>
        </w:rPr>
        <w:t>un piso mínimo de ingresos para todos los argentinos vulnerables. En ese sentido, el</w:t>
      </w:r>
      <w:r w:rsidR="00E27746">
        <w:rPr>
          <w:b/>
          <w:sz w:val="24"/>
          <w:szCs w:val="24"/>
        </w:rPr>
        <w:t xml:space="preserve"> </w:t>
      </w:r>
      <w:r w:rsidRPr="005B03A5">
        <w:rPr>
          <w:sz w:val="24"/>
          <w:szCs w:val="24"/>
        </w:rPr>
        <w:t>Gobierno amplió la cobertura de los principales programas de protección social,</w:t>
      </w:r>
      <w:r w:rsidR="00E27746">
        <w:rPr>
          <w:b/>
          <w:sz w:val="24"/>
          <w:szCs w:val="24"/>
        </w:rPr>
        <w:t xml:space="preserve"> </w:t>
      </w:r>
      <w:r w:rsidRPr="005B03A5">
        <w:rPr>
          <w:sz w:val="24"/>
          <w:szCs w:val="24"/>
        </w:rPr>
        <w:t>como las asignaciones familiares y por hijo y las pensiones para adultos mayores.</w:t>
      </w:r>
    </w:p>
    <w:p w:rsidR="00E27746" w:rsidRDefault="00E27746"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 xml:space="preserve">En estos años, el Plan permitió </w:t>
      </w:r>
      <w:r w:rsidR="00E27746">
        <w:rPr>
          <w:sz w:val="24"/>
          <w:szCs w:val="24"/>
        </w:rPr>
        <w:t xml:space="preserve">cuidar y estimular el </w:t>
      </w:r>
      <w:r w:rsidRPr="005B03A5">
        <w:rPr>
          <w:sz w:val="24"/>
          <w:szCs w:val="24"/>
        </w:rPr>
        <w:t>desarrollo de 337.427 niños y niñas.</w:t>
      </w:r>
    </w:p>
    <w:p w:rsidR="005B03A5" w:rsidRDefault="005B03A5" w:rsidP="00E27746">
      <w:pPr>
        <w:autoSpaceDE w:val="0"/>
        <w:autoSpaceDN w:val="0"/>
        <w:adjustRightInd w:val="0"/>
        <w:spacing w:after="0" w:line="240" w:lineRule="auto"/>
        <w:jc w:val="both"/>
        <w:rPr>
          <w:sz w:val="24"/>
          <w:szCs w:val="24"/>
        </w:rPr>
      </w:pPr>
      <w:r w:rsidRPr="005B03A5">
        <w:rPr>
          <w:sz w:val="24"/>
          <w:szCs w:val="24"/>
        </w:rPr>
        <w:t>Los Espacios de Primera Infancia son cen</w:t>
      </w:r>
      <w:r w:rsidR="00E27746">
        <w:rPr>
          <w:sz w:val="24"/>
          <w:szCs w:val="24"/>
        </w:rPr>
        <w:t xml:space="preserve">trales para esta política. Allí </w:t>
      </w:r>
      <w:r w:rsidRPr="005B03A5">
        <w:rPr>
          <w:sz w:val="24"/>
          <w:szCs w:val="24"/>
        </w:rPr>
        <w:t>niños y niñas reciben alimentación, estimulación tem</w:t>
      </w:r>
      <w:r w:rsidR="00E27746">
        <w:rPr>
          <w:sz w:val="24"/>
          <w:szCs w:val="24"/>
        </w:rPr>
        <w:t xml:space="preserve">prana, psicomotricidad, hábitos </w:t>
      </w:r>
      <w:r w:rsidRPr="005B03A5">
        <w:rPr>
          <w:sz w:val="24"/>
          <w:szCs w:val="24"/>
        </w:rPr>
        <w:t>de promoción y prevención de la salud como tallere</w:t>
      </w:r>
      <w:r w:rsidR="00E27746">
        <w:rPr>
          <w:sz w:val="24"/>
          <w:szCs w:val="24"/>
        </w:rPr>
        <w:t xml:space="preserve">s y cursos de capacitación para </w:t>
      </w:r>
      <w:r w:rsidRPr="005B03A5">
        <w:rPr>
          <w:sz w:val="24"/>
          <w:szCs w:val="24"/>
        </w:rPr>
        <w:t xml:space="preserve">madres, padres y profesionales. </w:t>
      </w:r>
    </w:p>
    <w:p w:rsidR="00E27746" w:rsidRPr="005B03A5" w:rsidRDefault="00E27746" w:rsidP="00E27746">
      <w:pPr>
        <w:autoSpaceDE w:val="0"/>
        <w:autoSpaceDN w:val="0"/>
        <w:adjustRightInd w:val="0"/>
        <w:spacing w:after="0" w:line="240" w:lineRule="auto"/>
        <w:jc w:val="both"/>
        <w:rPr>
          <w:sz w:val="24"/>
          <w:szCs w:val="24"/>
        </w:rPr>
      </w:pPr>
    </w:p>
    <w:p w:rsidR="005B03A5" w:rsidRPr="005B03A5" w:rsidRDefault="00D4593A" w:rsidP="005B03A5">
      <w:pPr>
        <w:autoSpaceDE w:val="0"/>
        <w:autoSpaceDN w:val="0"/>
        <w:adjustRightInd w:val="0"/>
        <w:spacing w:after="0" w:line="240" w:lineRule="auto"/>
        <w:jc w:val="both"/>
        <w:rPr>
          <w:sz w:val="24"/>
          <w:szCs w:val="24"/>
        </w:rPr>
      </w:pPr>
      <w:r>
        <w:rPr>
          <w:sz w:val="24"/>
          <w:szCs w:val="24"/>
        </w:rPr>
        <w:t xml:space="preserve">La </w:t>
      </w:r>
      <w:r w:rsidR="005B03A5" w:rsidRPr="005B03A5">
        <w:rPr>
          <w:sz w:val="24"/>
          <w:szCs w:val="24"/>
        </w:rPr>
        <w:t xml:space="preserve">cobertura de los servicios de agua potable y </w:t>
      </w:r>
      <w:r>
        <w:rPr>
          <w:sz w:val="24"/>
          <w:szCs w:val="24"/>
        </w:rPr>
        <w:t xml:space="preserve">saneamiento se garantiza con la </w:t>
      </w:r>
      <w:r w:rsidR="005B03A5" w:rsidRPr="005B03A5">
        <w:rPr>
          <w:sz w:val="24"/>
          <w:szCs w:val="24"/>
        </w:rPr>
        <w:t>ejecución de las obras protejan los cascos urb</w:t>
      </w:r>
      <w:r>
        <w:rPr>
          <w:sz w:val="24"/>
          <w:szCs w:val="24"/>
        </w:rPr>
        <w:t xml:space="preserve">anos y rurales, y otros efectos </w:t>
      </w:r>
      <w:r w:rsidR="005B03A5" w:rsidRPr="005B03A5">
        <w:rPr>
          <w:sz w:val="24"/>
          <w:szCs w:val="24"/>
        </w:rPr>
        <w:t>generados por el cambio climático. Algunas de la</w:t>
      </w:r>
      <w:r>
        <w:rPr>
          <w:sz w:val="24"/>
          <w:szCs w:val="24"/>
        </w:rPr>
        <w:t>s obras que se están ejecutando a</w:t>
      </w:r>
      <w:r w:rsidR="005B03A5" w:rsidRPr="005B03A5">
        <w:rPr>
          <w:sz w:val="24"/>
          <w:szCs w:val="24"/>
        </w:rPr>
        <w:t>ctualmente contemplan curvas de obras plurianual</w:t>
      </w:r>
      <w:r>
        <w:rPr>
          <w:sz w:val="24"/>
          <w:szCs w:val="24"/>
        </w:rPr>
        <w:t xml:space="preserve">es que requieren varios años de </w:t>
      </w:r>
      <w:r w:rsidR="005B03A5" w:rsidRPr="005B03A5">
        <w:rPr>
          <w:sz w:val="24"/>
          <w:szCs w:val="24"/>
        </w:rPr>
        <w:t>ejecución tales como la nueva red de colectores</w:t>
      </w:r>
      <w:r>
        <w:rPr>
          <w:sz w:val="24"/>
          <w:szCs w:val="24"/>
        </w:rPr>
        <w:t xml:space="preserve"> y la expansión de la planta de </w:t>
      </w:r>
      <w:r w:rsidR="005B03A5" w:rsidRPr="005B03A5">
        <w:rPr>
          <w:sz w:val="24"/>
          <w:szCs w:val="24"/>
        </w:rPr>
        <w:t>tratamiento de Bajo Grande en la ciudad de Córdoba.</w:t>
      </w:r>
    </w:p>
    <w:p w:rsidR="00D4593A" w:rsidRDefault="00D4593A"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Otro de los pilares del desarrollo humano es el acceso a la vivienda.</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Entre 2016 y 2019, a partir del lanzamiento del Plan</w:t>
      </w:r>
      <w:r w:rsidR="00D4593A">
        <w:rPr>
          <w:sz w:val="24"/>
          <w:szCs w:val="24"/>
        </w:rPr>
        <w:t xml:space="preserve"> Nacional de Vivienda que luego siguió </w:t>
      </w:r>
      <w:r w:rsidRPr="005B03A5">
        <w:rPr>
          <w:sz w:val="24"/>
          <w:szCs w:val="24"/>
        </w:rPr>
        <w:t>bajo el programa Mi Casa, más de 500.000 f</w:t>
      </w:r>
      <w:r w:rsidR="00D4593A">
        <w:rPr>
          <w:sz w:val="24"/>
          <w:szCs w:val="24"/>
        </w:rPr>
        <w:t xml:space="preserve">amilias habrán accedido a algún </w:t>
      </w:r>
      <w:r w:rsidRPr="005B03A5">
        <w:rPr>
          <w:sz w:val="24"/>
          <w:szCs w:val="24"/>
        </w:rPr>
        <w:t>tipo de solución habitacional. El objetivo principal del p</w:t>
      </w:r>
      <w:r w:rsidR="00D4593A">
        <w:rPr>
          <w:sz w:val="24"/>
          <w:szCs w:val="24"/>
        </w:rPr>
        <w:t xml:space="preserve">lan es facilitar el acceso a la </w:t>
      </w:r>
      <w:r w:rsidRPr="005B03A5">
        <w:rPr>
          <w:sz w:val="24"/>
          <w:szCs w:val="24"/>
        </w:rPr>
        <w:t>vivienda, luego de décadas con una política hab</w:t>
      </w:r>
      <w:r w:rsidR="00D4593A">
        <w:rPr>
          <w:sz w:val="24"/>
          <w:szCs w:val="24"/>
        </w:rPr>
        <w:t xml:space="preserve">itacional centrada en un Estado </w:t>
      </w:r>
      <w:r w:rsidRPr="005B03A5">
        <w:rPr>
          <w:sz w:val="24"/>
          <w:szCs w:val="24"/>
        </w:rPr>
        <w:t>constructor.</w:t>
      </w:r>
    </w:p>
    <w:p w:rsidR="00D4593A" w:rsidRDefault="00D4593A" w:rsidP="005B03A5">
      <w:pPr>
        <w:autoSpaceDE w:val="0"/>
        <w:autoSpaceDN w:val="0"/>
        <w:adjustRightInd w:val="0"/>
        <w:spacing w:after="0" w:line="240" w:lineRule="auto"/>
        <w:jc w:val="both"/>
        <w:rPr>
          <w:sz w:val="24"/>
          <w:szCs w:val="24"/>
        </w:rPr>
      </w:pPr>
    </w:p>
    <w:p w:rsidR="00D4593A" w:rsidRDefault="005B03A5" w:rsidP="005B03A5">
      <w:pPr>
        <w:autoSpaceDE w:val="0"/>
        <w:autoSpaceDN w:val="0"/>
        <w:adjustRightInd w:val="0"/>
        <w:spacing w:after="0" w:line="240" w:lineRule="auto"/>
        <w:jc w:val="both"/>
        <w:rPr>
          <w:sz w:val="24"/>
          <w:szCs w:val="24"/>
        </w:rPr>
      </w:pPr>
      <w:r w:rsidRPr="005B03A5">
        <w:rPr>
          <w:sz w:val="24"/>
          <w:szCs w:val="24"/>
        </w:rPr>
        <w:t xml:space="preserve">Desde 2016, un pilar de esta política </w:t>
      </w:r>
      <w:r w:rsidR="00D4593A">
        <w:rPr>
          <w:sz w:val="24"/>
          <w:szCs w:val="24"/>
        </w:rPr>
        <w:t xml:space="preserve">fue la recuperación del crédito </w:t>
      </w:r>
      <w:r w:rsidRPr="005B03A5">
        <w:rPr>
          <w:sz w:val="24"/>
          <w:szCs w:val="24"/>
        </w:rPr>
        <w:t>hipotecario, con nuevas regulaciones que permiten</w:t>
      </w:r>
      <w:r w:rsidR="00D4593A">
        <w:rPr>
          <w:sz w:val="24"/>
          <w:szCs w:val="24"/>
        </w:rPr>
        <w:t xml:space="preserve"> lograr fuentes sustentables de </w:t>
      </w:r>
      <w:r w:rsidRPr="005B03A5">
        <w:rPr>
          <w:sz w:val="24"/>
          <w:szCs w:val="24"/>
        </w:rPr>
        <w:t>fondeo y con requisitos más cercanos a la realida</w:t>
      </w:r>
      <w:r w:rsidR="00D4593A">
        <w:rPr>
          <w:sz w:val="24"/>
          <w:szCs w:val="24"/>
        </w:rPr>
        <w:t xml:space="preserve">d de la demanda, principalmente </w:t>
      </w:r>
      <w:r w:rsidRPr="005B03A5">
        <w:rPr>
          <w:sz w:val="24"/>
          <w:szCs w:val="24"/>
        </w:rPr>
        <w:t xml:space="preserve">en términos de ingresos y ahorro previo. </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El resultad</w:t>
      </w:r>
      <w:r w:rsidR="00D4593A">
        <w:rPr>
          <w:sz w:val="24"/>
          <w:szCs w:val="24"/>
        </w:rPr>
        <w:t xml:space="preserve">o de esto, si bien la situación </w:t>
      </w:r>
      <w:r w:rsidRPr="005B03A5">
        <w:rPr>
          <w:sz w:val="24"/>
          <w:szCs w:val="24"/>
        </w:rPr>
        <w:t>coyuntural atraviesa un momento de estancamiento</w:t>
      </w:r>
      <w:r w:rsidR="00D4593A">
        <w:rPr>
          <w:sz w:val="24"/>
          <w:szCs w:val="24"/>
        </w:rPr>
        <w:t xml:space="preserve"> (</w:t>
      </w:r>
      <w:r w:rsidR="00D4593A" w:rsidRPr="00D4593A">
        <w:rPr>
          <w:b/>
          <w:sz w:val="24"/>
          <w:szCs w:val="24"/>
        </w:rPr>
        <w:t>por los créditos UVA</w:t>
      </w:r>
      <w:r w:rsidR="00D4593A">
        <w:rPr>
          <w:sz w:val="24"/>
          <w:szCs w:val="24"/>
        </w:rPr>
        <w:t xml:space="preserve">), son los 175.000 créditos </w:t>
      </w:r>
      <w:r w:rsidRPr="005B03A5">
        <w:rPr>
          <w:sz w:val="24"/>
          <w:szCs w:val="24"/>
        </w:rPr>
        <w:t>hipotecarios otorgados desde 2016, de los que 11</w:t>
      </w:r>
      <w:r w:rsidR="00D4593A">
        <w:rPr>
          <w:sz w:val="24"/>
          <w:szCs w:val="24"/>
        </w:rPr>
        <w:t xml:space="preserve">0.000 fueron en UVA. Seguiremos </w:t>
      </w:r>
      <w:r w:rsidRPr="005B03A5">
        <w:rPr>
          <w:sz w:val="24"/>
          <w:szCs w:val="24"/>
        </w:rPr>
        <w:t>trabajando para fortalecer el sistema de créditos hip</w:t>
      </w:r>
      <w:r w:rsidR="00D4593A">
        <w:rPr>
          <w:sz w:val="24"/>
          <w:szCs w:val="24"/>
        </w:rPr>
        <w:t xml:space="preserve">otecarios con base en la UVA, a </w:t>
      </w:r>
      <w:r w:rsidRPr="005B03A5">
        <w:rPr>
          <w:sz w:val="24"/>
          <w:szCs w:val="24"/>
        </w:rPr>
        <w:t>partir de mecanismos de cobertura que den previsi</w:t>
      </w:r>
      <w:r w:rsidR="00D4593A">
        <w:rPr>
          <w:sz w:val="24"/>
          <w:szCs w:val="24"/>
        </w:rPr>
        <w:t xml:space="preserve">bilidad al pago de cuotas y que </w:t>
      </w:r>
      <w:r w:rsidRPr="005B03A5">
        <w:rPr>
          <w:sz w:val="24"/>
          <w:szCs w:val="24"/>
        </w:rPr>
        <w:t>impulsen la generación de nuevos créditos.</w:t>
      </w:r>
    </w:p>
    <w:p w:rsidR="00D4593A" w:rsidRDefault="00D4593A"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2016 relanzamos el Plan Pro.C</w:t>
      </w:r>
      <w:r w:rsidR="00D4593A">
        <w:rPr>
          <w:sz w:val="24"/>
          <w:szCs w:val="24"/>
        </w:rPr>
        <w:t xml:space="preserve">re.Ar. y más de 30.000 familias </w:t>
      </w:r>
      <w:r w:rsidRPr="005B03A5">
        <w:rPr>
          <w:sz w:val="24"/>
          <w:szCs w:val="24"/>
        </w:rPr>
        <w:t>pudieron acceder a su vivienda a través del pr</w:t>
      </w:r>
      <w:r w:rsidR="00D4593A">
        <w:rPr>
          <w:sz w:val="24"/>
          <w:szCs w:val="24"/>
        </w:rPr>
        <w:t xml:space="preserve">ograma. En esta nueva etapa, el </w:t>
      </w:r>
      <w:r w:rsidRPr="005B03A5">
        <w:rPr>
          <w:sz w:val="24"/>
          <w:szCs w:val="24"/>
        </w:rPr>
        <w:t xml:space="preserve">Estado seguirá teniendo un rol </w:t>
      </w:r>
      <w:r w:rsidRPr="005B03A5">
        <w:rPr>
          <w:sz w:val="24"/>
          <w:szCs w:val="24"/>
        </w:rPr>
        <w:lastRenderedPageBreak/>
        <w:t>clave en la</w:t>
      </w:r>
      <w:r w:rsidR="00D4593A">
        <w:rPr>
          <w:sz w:val="24"/>
          <w:szCs w:val="24"/>
        </w:rPr>
        <w:t xml:space="preserve"> asistencia, con un subsidio no </w:t>
      </w:r>
      <w:r w:rsidRPr="005B03A5">
        <w:rPr>
          <w:sz w:val="24"/>
          <w:szCs w:val="24"/>
        </w:rPr>
        <w:t>reembolsable al capital diseñado para prioriz</w:t>
      </w:r>
      <w:r w:rsidR="00D4593A">
        <w:rPr>
          <w:sz w:val="24"/>
          <w:szCs w:val="24"/>
        </w:rPr>
        <w:t xml:space="preserve">ar el acceso de los hogares más </w:t>
      </w:r>
      <w:r w:rsidRPr="005B03A5">
        <w:rPr>
          <w:sz w:val="24"/>
          <w:szCs w:val="24"/>
        </w:rPr>
        <w:t>vulnerables y con subsidios diferenciados según i</w:t>
      </w:r>
      <w:r w:rsidR="00D4593A">
        <w:rPr>
          <w:sz w:val="24"/>
          <w:szCs w:val="24"/>
        </w:rPr>
        <w:t xml:space="preserve">ngresos y valor de la vivienda. </w:t>
      </w:r>
      <w:r w:rsidRPr="005B03A5">
        <w:rPr>
          <w:sz w:val="24"/>
          <w:szCs w:val="24"/>
        </w:rPr>
        <w:t>Además, en 2019 se abrirá la inscripción para el ac</w:t>
      </w:r>
      <w:r w:rsidR="00D4593A">
        <w:rPr>
          <w:sz w:val="24"/>
          <w:szCs w:val="24"/>
        </w:rPr>
        <w:t xml:space="preserve">ceso a casi 14.000 viviendas </w:t>
      </w:r>
      <w:r w:rsidR="008015D1">
        <w:rPr>
          <w:sz w:val="24"/>
          <w:szCs w:val="24"/>
        </w:rPr>
        <w:t>en</w:t>
      </w:r>
      <w:r w:rsidR="008015D1" w:rsidRPr="005B03A5">
        <w:rPr>
          <w:sz w:val="24"/>
          <w:szCs w:val="24"/>
        </w:rPr>
        <w:t xml:space="preserve"> todo</w:t>
      </w:r>
      <w:r w:rsidRPr="005B03A5">
        <w:rPr>
          <w:sz w:val="24"/>
          <w:szCs w:val="24"/>
        </w:rPr>
        <w:t xml:space="preserve"> el país a través de los desarrollos urbanísticos de Pro.Cre.Ar.</w:t>
      </w:r>
    </w:p>
    <w:p w:rsidR="00D4593A" w:rsidRDefault="00D4593A"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2016 se lanzó la Cobertura Unive</w:t>
      </w:r>
      <w:r w:rsidR="00D4593A">
        <w:rPr>
          <w:sz w:val="24"/>
          <w:szCs w:val="24"/>
        </w:rPr>
        <w:t xml:space="preserve">rsal de Salud, que moderniza el </w:t>
      </w:r>
      <w:r w:rsidRPr="005B03A5">
        <w:rPr>
          <w:sz w:val="24"/>
          <w:szCs w:val="24"/>
        </w:rPr>
        <w:t>sistema con una atención personalizada, integral y g</w:t>
      </w:r>
      <w:r w:rsidR="00D4593A">
        <w:rPr>
          <w:sz w:val="24"/>
          <w:szCs w:val="24"/>
        </w:rPr>
        <w:t xml:space="preserve">ratuita que brinda mejor acceso </w:t>
      </w:r>
      <w:r w:rsidRPr="005B03A5">
        <w:rPr>
          <w:sz w:val="24"/>
          <w:szCs w:val="24"/>
        </w:rPr>
        <w:t>a las prestaciones, medicamentos y tecnologías de diagnóstico y terapéuticas.</w:t>
      </w:r>
    </w:p>
    <w:p w:rsidR="00D4593A" w:rsidRDefault="00D4593A"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cuanto al acceso a los medicam</w:t>
      </w:r>
      <w:r w:rsidR="00D4593A">
        <w:rPr>
          <w:sz w:val="24"/>
          <w:szCs w:val="24"/>
        </w:rPr>
        <w:t xml:space="preserve">entos por primera vez la actual </w:t>
      </w:r>
      <w:r w:rsidRPr="005B03A5">
        <w:rPr>
          <w:sz w:val="24"/>
          <w:szCs w:val="24"/>
        </w:rPr>
        <w:t>Secretaría de Gobierno de Salud, PAMI y otras obras</w:t>
      </w:r>
      <w:r w:rsidR="00D4593A">
        <w:rPr>
          <w:sz w:val="24"/>
          <w:szCs w:val="24"/>
        </w:rPr>
        <w:t xml:space="preserve"> sociales y organismos públicos </w:t>
      </w:r>
      <w:r w:rsidRPr="005B03A5">
        <w:rPr>
          <w:sz w:val="24"/>
          <w:szCs w:val="24"/>
        </w:rPr>
        <w:t>están llevando adelante una política farmacéutic</w:t>
      </w:r>
      <w:r w:rsidR="00D4593A">
        <w:rPr>
          <w:sz w:val="24"/>
          <w:szCs w:val="24"/>
        </w:rPr>
        <w:t xml:space="preserve">a coordinada con la fijación de </w:t>
      </w:r>
      <w:r w:rsidRPr="005B03A5">
        <w:rPr>
          <w:sz w:val="24"/>
          <w:szCs w:val="24"/>
        </w:rPr>
        <w:t>políticas</w:t>
      </w:r>
      <w:r w:rsidR="00D4593A">
        <w:rPr>
          <w:sz w:val="24"/>
          <w:szCs w:val="24"/>
        </w:rPr>
        <w:t xml:space="preserve"> de cobertura claras, la compra </w:t>
      </w:r>
      <w:r w:rsidRPr="005B03A5">
        <w:rPr>
          <w:sz w:val="24"/>
          <w:szCs w:val="24"/>
        </w:rPr>
        <w:t>consolidad</w:t>
      </w:r>
      <w:r w:rsidR="00D4593A">
        <w:rPr>
          <w:sz w:val="24"/>
          <w:szCs w:val="24"/>
        </w:rPr>
        <w:t xml:space="preserve">a de medicamentos y estrategias </w:t>
      </w:r>
      <w:r w:rsidRPr="005B03A5">
        <w:rPr>
          <w:sz w:val="24"/>
          <w:szCs w:val="24"/>
        </w:rPr>
        <w:t>de negociación de precios que bajaron los costos de los medicamentos e</w:t>
      </w:r>
    </w:p>
    <w:p w:rsidR="00D4593A" w:rsidRDefault="00D4593A" w:rsidP="005B03A5">
      <w:pPr>
        <w:autoSpaceDE w:val="0"/>
        <w:autoSpaceDN w:val="0"/>
        <w:adjustRightInd w:val="0"/>
        <w:spacing w:after="0" w:line="240" w:lineRule="auto"/>
        <w:jc w:val="both"/>
        <w:rPr>
          <w:sz w:val="24"/>
          <w:szCs w:val="24"/>
        </w:rPr>
      </w:pPr>
    </w:p>
    <w:p w:rsidR="005B03A5" w:rsidRPr="00D4593A" w:rsidRDefault="005B03A5" w:rsidP="005B03A5">
      <w:pPr>
        <w:autoSpaceDE w:val="0"/>
        <w:autoSpaceDN w:val="0"/>
        <w:adjustRightInd w:val="0"/>
        <w:spacing w:after="0" w:line="240" w:lineRule="auto"/>
        <w:jc w:val="both"/>
        <w:rPr>
          <w:b/>
          <w:sz w:val="24"/>
          <w:szCs w:val="24"/>
        </w:rPr>
      </w:pPr>
      <w:r w:rsidRPr="00D4593A">
        <w:rPr>
          <w:b/>
          <w:sz w:val="24"/>
          <w:szCs w:val="24"/>
        </w:rPr>
        <w:t>INFRAESTRUCTURA Y ENERGÍA</w:t>
      </w:r>
      <w:r w:rsidR="00D4593A">
        <w:rPr>
          <w:b/>
          <w:sz w:val="24"/>
          <w:szCs w:val="24"/>
        </w:rPr>
        <w:t xml:space="preserve">: </w:t>
      </w:r>
      <w:r w:rsidRPr="005B03A5">
        <w:rPr>
          <w:sz w:val="24"/>
          <w:szCs w:val="24"/>
        </w:rPr>
        <w:t>En cuanto a la política energética, en 2020 vamos a seguir con el</w:t>
      </w:r>
      <w:r w:rsidR="00D4593A">
        <w:rPr>
          <w:b/>
          <w:sz w:val="24"/>
          <w:szCs w:val="24"/>
        </w:rPr>
        <w:t xml:space="preserve"> </w:t>
      </w:r>
      <w:r w:rsidRPr="005B03A5">
        <w:rPr>
          <w:sz w:val="24"/>
          <w:szCs w:val="24"/>
        </w:rPr>
        <w:t>objetivo de alcanzar la seguridad de abastecimiento energético y la capacidad de</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garantizar el suministro confiable.</w:t>
      </w:r>
    </w:p>
    <w:p w:rsidR="00D4593A" w:rsidRDefault="00D4593A"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Desde 2016, la producción de gas y pe</w:t>
      </w:r>
      <w:r w:rsidR="00D4593A">
        <w:rPr>
          <w:sz w:val="24"/>
          <w:szCs w:val="24"/>
        </w:rPr>
        <w:t xml:space="preserve">tróleo volvieron a ser un motor </w:t>
      </w:r>
      <w:r w:rsidRPr="005B03A5">
        <w:rPr>
          <w:sz w:val="24"/>
          <w:szCs w:val="24"/>
        </w:rPr>
        <w:t>de la actividad económica, especialmente en el seg</w:t>
      </w:r>
      <w:r w:rsidR="00D4593A">
        <w:rPr>
          <w:sz w:val="24"/>
          <w:szCs w:val="24"/>
        </w:rPr>
        <w:t xml:space="preserve">mento no convencional, producto </w:t>
      </w:r>
      <w:r w:rsidRPr="005B03A5">
        <w:rPr>
          <w:sz w:val="24"/>
          <w:szCs w:val="24"/>
        </w:rPr>
        <w:t xml:space="preserve">del lugar central que ocupa el yacimiento de Vaca </w:t>
      </w:r>
      <w:r w:rsidR="00D4593A">
        <w:rPr>
          <w:sz w:val="24"/>
          <w:szCs w:val="24"/>
        </w:rPr>
        <w:t xml:space="preserve">Muerta. Esto tuvo como pilar el </w:t>
      </w:r>
      <w:r w:rsidRPr="005B03A5">
        <w:rPr>
          <w:sz w:val="24"/>
          <w:szCs w:val="24"/>
        </w:rPr>
        <w:t>acuerdo entre el Poder Ejecutivo Nacional, los sindica</w:t>
      </w:r>
      <w:r w:rsidR="00D4593A">
        <w:rPr>
          <w:sz w:val="24"/>
          <w:szCs w:val="24"/>
        </w:rPr>
        <w:t xml:space="preserve">tos, los gobiernos provinciales </w:t>
      </w:r>
      <w:r w:rsidRPr="005B03A5">
        <w:rPr>
          <w:sz w:val="24"/>
          <w:szCs w:val="24"/>
        </w:rPr>
        <w:t>y las empresas.</w:t>
      </w:r>
    </w:p>
    <w:p w:rsidR="00D4593A" w:rsidRDefault="00D4593A"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2019 los subsidios a la energía s</w:t>
      </w:r>
      <w:r w:rsidR="00D4593A">
        <w:rPr>
          <w:sz w:val="24"/>
          <w:szCs w:val="24"/>
        </w:rPr>
        <w:t xml:space="preserve">erán cercanos a la mitad de los </w:t>
      </w:r>
      <w:r w:rsidRPr="005B03A5">
        <w:rPr>
          <w:sz w:val="24"/>
          <w:szCs w:val="24"/>
        </w:rPr>
        <w:t>que eran hace cuatro años, gracias al aumento en la</w:t>
      </w:r>
      <w:r w:rsidR="00D4593A">
        <w:rPr>
          <w:sz w:val="24"/>
          <w:szCs w:val="24"/>
        </w:rPr>
        <w:t xml:space="preserve"> producción y las mejoras en la </w:t>
      </w:r>
      <w:r w:rsidRPr="005B03A5">
        <w:rPr>
          <w:sz w:val="24"/>
          <w:szCs w:val="24"/>
        </w:rPr>
        <w:t>infraestructura.</w:t>
      </w:r>
    </w:p>
    <w:p w:rsidR="00D4593A" w:rsidRDefault="00D4593A" w:rsidP="005B03A5">
      <w:pPr>
        <w:autoSpaceDE w:val="0"/>
        <w:autoSpaceDN w:val="0"/>
        <w:adjustRightInd w:val="0"/>
        <w:spacing w:after="0" w:line="240" w:lineRule="auto"/>
        <w:jc w:val="both"/>
        <w:rPr>
          <w:sz w:val="24"/>
          <w:szCs w:val="24"/>
        </w:rPr>
      </w:pPr>
    </w:p>
    <w:p w:rsidR="005B03A5" w:rsidRDefault="005B03A5" w:rsidP="005B03A5">
      <w:pPr>
        <w:autoSpaceDE w:val="0"/>
        <w:autoSpaceDN w:val="0"/>
        <w:adjustRightInd w:val="0"/>
        <w:spacing w:after="0" w:line="240" w:lineRule="auto"/>
        <w:jc w:val="both"/>
        <w:rPr>
          <w:sz w:val="24"/>
          <w:szCs w:val="24"/>
        </w:rPr>
      </w:pPr>
      <w:r w:rsidRPr="005B03A5">
        <w:rPr>
          <w:sz w:val="24"/>
          <w:szCs w:val="24"/>
        </w:rPr>
        <w:t>La energía renovable es cada vez más im</w:t>
      </w:r>
      <w:r w:rsidR="00D4593A">
        <w:rPr>
          <w:sz w:val="24"/>
          <w:szCs w:val="24"/>
        </w:rPr>
        <w:t xml:space="preserve">portante en la matriz eléctrica </w:t>
      </w:r>
      <w:r w:rsidRPr="005B03A5">
        <w:rPr>
          <w:sz w:val="24"/>
          <w:szCs w:val="24"/>
        </w:rPr>
        <w:t>argentina. En 2019 tiene una participación equivalen</w:t>
      </w:r>
      <w:r w:rsidR="00D4593A">
        <w:rPr>
          <w:sz w:val="24"/>
          <w:szCs w:val="24"/>
        </w:rPr>
        <w:t xml:space="preserve">te al triple de la observada en </w:t>
      </w:r>
      <w:r w:rsidRPr="005B03A5">
        <w:rPr>
          <w:sz w:val="24"/>
          <w:szCs w:val="24"/>
        </w:rPr>
        <w:t>2015. Mediante la Resolución 21/16 se adjudic</w:t>
      </w:r>
      <w:r w:rsidR="00D4593A">
        <w:rPr>
          <w:sz w:val="24"/>
          <w:szCs w:val="24"/>
        </w:rPr>
        <w:t xml:space="preserve">aron 29 proyectos de generación </w:t>
      </w:r>
      <w:r w:rsidRPr="005B03A5">
        <w:rPr>
          <w:sz w:val="24"/>
          <w:szCs w:val="24"/>
        </w:rPr>
        <w:t>térmica por 3.138 MW, 28 ya están habilitados co</w:t>
      </w:r>
      <w:r w:rsidR="00D4593A">
        <w:rPr>
          <w:sz w:val="24"/>
          <w:szCs w:val="24"/>
        </w:rPr>
        <w:t xml:space="preserve">mercialmente y se encuentran en </w:t>
      </w:r>
      <w:r w:rsidRPr="005B03A5">
        <w:rPr>
          <w:sz w:val="24"/>
          <w:szCs w:val="24"/>
        </w:rPr>
        <w:t>operación. Gracias al ingreso de esas centrales se p</w:t>
      </w:r>
      <w:r w:rsidR="00D4593A">
        <w:rPr>
          <w:sz w:val="24"/>
          <w:szCs w:val="24"/>
        </w:rPr>
        <w:t xml:space="preserve">udo cubrir la demanda récord de </w:t>
      </w:r>
      <w:r w:rsidRPr="005B03A5">
        <w:rPr>
          <w:sz w:val="24"/>
          <w:szCs w:val="24"/>
        </w:rPr>
        <w:t>potencia, de 26.320 MW del 8 de febrero de 2018. M</w:t>
      </w:r>
      <w:r w:rsidR="00D4593A">
        <w:rPr>
          <w:sz w:val="24"/>
          <w:szCs w:val="24"/>
        </w:rPr>
        <w:t xml:space="preserve">ediante la Resolución 287/17 se </w:t>
      </w:r>
      <w:r w:rsidRPr="005B03A5">
        <w:rPr>
          <w:sz w:val="24"/>
          <w:szCs w:val="24"/>
        </w:rPr>
        <w:t>adjudicaron 12 proyectos de generación térmica</w:t>
      </w:r>
      <w:r w:rsidR="00D4593A">
        <w:rPr>
          <w:sz w:val="24"/>
          <w:szCs w:val="24"/>
        </w:rPr>
        <w:t xml:space="preserve"> (cierre de Ciclos Combinados y </w:t>
      </w:r>
      <w:r w:rsidRPr="005B03A5">
        <w:rPr>
          <w:sz w:val="24"/>
          <w:szCs w:val="24"/>
        </w:rPr>
        <w:t>Cogeneración) por 1.810 MW, mejorando significativamen</w:t>
      </w:r>
      <w:r w:rsidR="00D4593A">
        <w:rPr>
          <w:sz w:val="24"/>
          <w:szCs w:val="24"/>
        </w:rPr>
        <w:t xml:space="preserve">te la eficiencia del parque </w:t>
      </w:r>
      <w:r w:rsidRPr="005B03A5">
        <w:rPr>
          <w:sz w:val="24"/>
          <w:szCs w:val="24"/>
        </w:rPr>
        <w:t>térmico instalado.</w:t>
      </w:r>
    </w:p>
    <w:p w:rsidR="000240D6" w:rsidRPr="005B03A5" w:rsidRDefault="000240D6" w:rsidP="005B03A5">
      <w:pPr>
        <w:autoSpaceDE w:val="0"/>
        <w:autoSpaceDN w:val="0"/>
        <w:adjustRightInd w:val="0"/>
        <w:spacing w:after="0" w:line="240" w:lineRule="auto"/>
        <w:jc w:val="both"/>
        <w:rPr>
          <w:sz w:val="24"/>
          <w:szCs w:val="24"/>
        </w:rPr>
      </w:pPr>
    </w:p>
    <w:p w:rsidR="005B03A5" w:rsidRPr="000240D6" w:rsidRDefault="000240D6" w:rsidP="005B03A5">
      <w:pPr>
        <w:autoSpaceDE w:val="0"/>
        <w:autoSpaceDN w:val="0"/>
        <w:adjustRightInd w:val="0"/>
        <w:spacing w:after="0" w:line="240" w:lineRule="auto"/>
        <w:jc w:val="both"/>
        <w:rPr>
          <w:b/>
          <w:sz w:val="24"/>
          <w:szCs w:val="24"/>
        </w:rPr>
      </w:pPr>
      <w:r>
        <w:rPr>
          <w:b/>
          <w:sz w:val="24"/>
          <w:szCs w:val="24"/>
        </w:rPr>
        <w:t xml:space="preserve">POLÍTICA TRIBUTARIA </w:t>
      </w:r>
      <w:r w:rsidR="005B03A5" w:rsidRPr="005B03A5">
        <w:rPr>
          <w:sz w:val="24"/>
          <w:szCs w:val="24"/>
        </w:rPr>
        <w:t>Los casi cuatro años transcurridos por esta gestión, demuestran que</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 xml:space="preserve">fue su objetivo prioritario la reducción gradual de </w:t>
      </w:r>
      <w:r w:rsidR="000240D6">
        <w:rPr>
          <w:sz w:val="24"/>
          <w:szCs w:val="24"/>
        </w:rPr>
        <w:t xml:space="preserve">la presión fiscal, dentro de un </w:t>
      </w:r>
      <w:r w:rsidRPr="005B03A5">
        <w:rPr>
          <w:sz w:val="24"/>
          <w:szCs w:val="24"/>
        </w:rPr>
        <w:t xml:space="preserve">contexto heredado con alto déficit fiscal y demanda </w:t>
      </w:r>
      <w:r w:rsidR="000240D6">
        <w:rPr>
          <w:sz w:val="24"/>
          <w:szCs w:val="24"/>
        </w:rPr>
        <w:t xml:space="preserve">de inversión en infraestructura </w:t>
      </w:r>
      <w:r w:rsidRPr="005B03A5">
        <w:rPr>
          <w:sz w:val="24"/>
          <w:szCs w:val="24"/>
        </w:rPr>
        <w:t>prioritaria.</w:t>
      </w:r>
    </w:p>
    <w:p w:rsidR="000240D6" w:rsidRDefault="000240D6" w:rsidP="005B03A5">
      <w:pPr>
        <w:autoSpaceDE w:val="0"/>
        <w:autoSpaceDN w:val="0"/>
        <w:adjustRightInd w:val="0"/>
        <w:spacing w:after="0" w:line="240" w:lineRule="auto"/>
        <w:jc w:val="both"/>
        <w:rPr>
          <w:sz w:val="24"/>
          <w:szCs w:val="24"/>
        </w:rPr>
      </w:pPr>
    </w:p>
    <w:p w:rsidR="000240D6" w:rsidRDefault="005B03A5" w:rsidP="005B03A5">
      <w:pPr>
        <w:autoSpaceDE w:val="0"/>
        <w:autoSpaceDN w:val="0"/>
        <w:adjustRightInd w:val="0"/>
        <w:spacing w:after="0" w:line="240" w:lineRule="auto"/>
        <w:jc w:val="both"/>
        <w:rPr>
          <w:sz w:val="24"/>
          <w:szCs w:val="24"/>
        </w:rPr>
      </w:pPr>
      <w:r w:rsidRPr="005B03A5">
        <w:rPr>
          <w:sz w:val="24"/>
          <w:szCs w:val="24"/>
        </w:rPr>
        <w:t>Desde fines del año 2015, la ac</w:t>
      </w:r>
      <w:r w:rsidR="000240D6">
        <w:rPr>
          <w:sz w:val="24"/>
          <w:szCs w:val="24"/>
        </w:rPr>
        <w:t xml:space="preserve">tual administración comenzó por </w:t>
      </w:r>
      <w:r w:rsidRPr="005B03A5">
        <w:rPr>
          <w:sz w:val="24"/>
          <w:szCs w:val="24"/>
        </w:rPr>
        <w:t>eliminar y reducir los derechos a las exportacione</w:t>
      </w:r>
      <w:r w:rsidR="000240D6">
        <w:rPr>
          <w:sz w:val="24"/>
          <w:szCs w:val="24"/>
        </w:rPr>
        <w:t xml:space="preserve">s, pese a que las exportaciones </w:t>
      </w:r>
      <w:r w:rsidRPr="005B03A5">
        <w:rPr>
          <w:sz w:val="24"/>
          <w:szCs w:val="24"/>
        </w:rPr>
        <w:t>fueron 32% más bajas comparadas con los cuatr</w:t>
      </w:r>
      <w:r w:rsidR="000240D6">
        <w:rPr>
          <w:sz w:val="24"/>
          <w:szCs w:val="24"/>
        </w:rPr>
        <w:t xml:space="preserve">o años previos y tipo de cambio </w:t>
      </w:r>
      <w:r w:rsidRPr="005B03A5">
        <w:rPr>
          <w:sz w:val="24"/>
          <w:szCs w:val="24"/>
        </w:rPr>
        <w:t>retrasado. Además, a poco de asumir se eliminaron</w:t>
      </w:r>
      <w:r w:rsidR="000240D6">
        <w:rPr>
          <w:sz w:val="24"/>
          <w:szCs w:val="24"/>
        </w:rPr>
        <w:t xml:space="preserve"> las percepciones de impuesto a </w:t>
      </w:r>
      <w:r w:rsidRPr="005B03A5">
        <w:rPr>
          <w:sz w:val="24"/>
          <w:szCs w:val="24"/>
        </w:rPr>
        <w:t>las ganancias asociadas al cepo cambiario y se r</w:t>
      </w:r>
      <w:r w:rsidR="000240D6">
        <w:rPr>
          <w:sz w:val="24"/>
          <w:szCs w:val="24"/>
        </w:rPr>
        <w:t xml:space="preserve">edujo la carga tributaria en el </w:t>
      </w:r>
      <w:r w:rsidRPr="005B03A5">
        <w:rPr>
          <w:sz w:val="24"/>
          <w:szCs w:val="24"/>
        </w:rPr>
        <w:t>impuesto a las ganancias de los empleados en relación de</w:t>
      </w:r>
      <w:r w:rsidR="000240D6">
        <w:rPr>
          <w:sz w:val="24"/>
          <w:szCs w:val="24"/>
        </w:rPr>
        <w:t xml:space="preserve"> dependencia (suba del </w:t>
      </w:r>
      <w:r w:rsidRPr="005B03A5">
        <w:rPr>
          <w:sz w:val="24"/>
          <w:szCs w:val="24"/>
        </w:rPr>
        <w:t xml:space="preserve">mínimo no imponible y ajuste de deducciones, </w:t>
      </w:r>
      <w:r w:rsidRPr="005B03A5">
        <w:rPr>
          <w:sz w:val="24"/>
          <w:szCs w:val="24"/>
        </w:rPr>
        <w:lastRenderedPageBreak/>
        <w:t>ambos</w:t>
      </w:r>
      <w:r w:rsidR="000240D6">
        <w:rPr>
          <w:sz w:val="24"/>
          <w:szCs w:val="24"/>
        </w:rPr>
        <w:t xml:space="preserve"> instrumentos con actualización </w:t>
      </w:r>
      <w:r w:rsidRPr="005B03A5">
        <w:rPr>
          <w:sz w:val="24"/>
          <w:szCs w:val="24"/>
        </w:rPr>
        <w:t xml:space="preserve">automática desde dichos cambios y sin necesidad </w:t>
      </w:r>
      <w:r w:rsidR="000240D6">
        <w:rPr>
          <w:sz w:val="24"/>
          <w:szCs w:val="24"/>
        </w:rPr>
        <w:t xml:space="preserve">de depender del humor del Poder </w:t>
      </w:r>
      <w:r w:rsidRPr="005B03A5">
        <w:rPr>
          <w:sz w:val="24"/>
          <w:szCs w:val="24"/>
        </w:rPr>
        <w:t xml:space="preserve">Ejecutivo). </w:t>
      </w:r>
    </w:p>
    <w:p w:rsidR="000240D6" w:rsidRDefault="000240D6"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 xml:space="preserve">También en el año 2016 se aprobó la Ley N° 27.264 de Pymes </w:t>
      </w:r>
      <w:r w:rsidR="000240D6">
        <w:rPr>
          <w:sz w:val="24"/>
          <w:szCs w:val="24"/>
        </w:rPr>
        <w:t xml:space="preserve">que, entre </w:t>
      </w:r>
      <w:r w:rsidRPr="005B03A5">
        <w:rPr>
          <w:sz w:val="24"/>
          <w:szCs w:val="24"/>
        </w:rPr>
        <w:t>otras medidas, permite diferir el pago del IVA y la p</w:t>
      </w:r>
      <w:r w:rsidR="000240D6">
        <w:rPr>
          <w:sz w:val="24"/>
          <w:szCs w:val="24"/>
        </w:rPr>
        <w:t xml:space="preserve">lena utilización del impuesto a </w:t>
      </w:r>
      <w:r w:rsidRPr="005B03A5">
        <w:rPr>
          <w:sz w:val="24"/>
          <w:szCs w:val="24"/>
        </w:rPr>
        <w:t>débitos y créditos a cuenta de Ganancias.</w:t>
      </w:r>
    </w:p>
    <w:p w:rsidR="000240D6" w:rsidRDefault="000240D6" w:rsidP="005B03A5">
      <w:pPr>
        <w:autoSpaceDE w:val="0"/>
        <w:autoSpaceDN w:val="0"/>
        <w:adjustRightInd w:val="0"/>
        <w:spacing w:after="0" w:line="240" w:lineRule="auto"/>
        <w:jc w:val="both"/>
        <w:rPr>
          <w:sz w:val="24"/>
          <w:szCs w:val="24"/>
        </w:rPr>
      </w:pPr>
    </w:p>
    <w:p w:rsidR="005B03A5" w:rsidRPr="005B03A5" w:rsidRDefault="000240D6" w:rsidP="005B03A5">
      <w:pPr>
        <w:autoSpaceDE w:val="0"/>
        <w:autoSpaceDN w:val="0"/>
        <w:adjustRightInd w:val="0"/>
        <w:spacing w:after="0" w:line="240" w:lineRule="auto"/>
        <w:jc w:val="both"/>
        <w:rPr>
          <w:sz w:val="24"/>
          <w:szCs w:val="24"/>
        </w:rPr>
      </w:pPr>
      <w:r>
        <w:rPr>
          <w:sz w:val="24"/>
          <w:szCs w:val="24"/>
        </w:rPr>
        <w:t xml:space="preserve">Se trata de estimular la </w:t>
      </w:r>
      <w:r w:rsidR="005B03A5" w:rsidRPr="005B03A5">
        <w:rPr>
          <w:sz w:val="24"/>
          <w:szCs w:val="24"/>
        </w:rPr>
        <w:t>inversión y empleo, para lo cual se redujo el im</w:t>
      </w:r>
      <w:r>
        <w:rPr>
          <w:sz w:val="24"/>
          <w:szCs w:val="24"/>
        </w:rPr>
        <w:t xml:space="preserve">puesto a las ganancias para las </w:t>
      </w:r>
      <w:r w:rsidR="005B03A5" w:rsidRPr="005B03A5">
        <w:rPr>
          <w:sz w:val="24"/>
          <w:szCs w:val="24"/>
        </w:rPr>
        <w:t xml:space="preserve">utilidades reinvertidas (pasando de una alícuota del </w:t>
      </w:r>
      <w:r>
        <w:rPr>
          <w:sz w:val="24"/>
          <w:szCs w:val="24"/>
        </w:rPr>
        <w:t xml:space="preserve">35% para llegar al 25% a partir </w:t>
      </w:r>
      <w:r w:rsidR="005B03A5" w:rsidRPr="005B03A5">
        <w:rPr>
          <w:sz w:val="24"/>
          <w:szCs w:val="24"/>
        </w:rPr>
        <w:t>del año 2020); a su vez se implementó la devolución del IVA a las firmas que</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 xml:space="preserve">inviertan en bienes de uso </w:t>
      </w:r>
      <w:r w:rsidR="008015D1" w:rsidRPr="005B03A5">
        <w:rPr>
          <w:sz w:val="24"/>
          <w:szCs w:val="24"/>
        </w:rPr>
        <w:t>y,</w:t>
      </w:r>
      <w:r w:rsidRPr="005B03A5">
        <w:rPr>
          <w:sz w:val="24"/>
          <w:szCs w:val="24"/>
        </w:rPr>
        <w:t xml:space="preserve"> por último, se reducen las contribuciones patronales</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Haciendo un balance general de to</w:t>
      </w:r>
      <w:r w:rsidR="000240D6">
        <w:rPr>
          <w:sz w:val="24"/>
          <w:szCs w:val="24"/>
        </w:rPr>
        <w:t xml:space="preserve">das estas medidas implementadas </w:t>
      </w:r>
      <w:r w:rsidRPr="005B03A5">
        <w:rPr>
          <w:sz w:val="24"/>
          <w:szCs w:val="24"/>
        </w:rPr>
        <w:t>en estos cuatro años, el impacto de estas decisiones hizo que la carga</w:t>
      </w:r>
      <w:r w:rsidR="000240D6">
        <w:rPr>
          <w:sz w:val="24"/>
          <w:szCs w:val="24"/>
        </w:rPr>
        <w:t xml:space="preserve"> tributaria para </w:t>
      </w:r>
      <w:r w:rsidRPr="005B03A5">
        <w:rPr>
          <w:sz w:val="24"/>
          <w:szCs w:val="24"/>
        </w:rPr>
        <w:t>el sector privado se redujera en $355.000 M, el equivalente a casi 2 puntos del PBI.</w:t>
      </w:r>
    </w:p>
    <w:p w:rsidR="005B03A5" w:rsidRPr="005B03A5" w:rsidRDefault="005B03A5" w:rsidP="005B03A5">
      <w:pPr>
        <w:autoSpaceDE w:val="0"/>
        <w:autoSpaceDN w:val="0"/>
        <w:adjustRightInd w:val="0"/>
        <w:spacing w:after="0" w:line="240" w:lineRule="auto"/>
        <w:jc w:val="both"/>
        <w:rPr>
          <w:sz w:val="24"/>
          <w:szCs w:val="24"/>
        </w:rPr>
      </w:pPr>
    </w:p>
    <w:p w:rsidR="005B03A5" w:rsidRDefault="005B03A5" w:rsidP="005B03A5">
      <w:pPr>
        <w:autoSpaceDE w:val="0"/>
        <w:autoSpaceDN w:val="0"/>
        <w:adjustRightInd w:val="0"/>
        <w:spacing w:after="0" w:line="240" w:lineRule="auto"/>
        <w:jc w:val="both"/>
        <w:rPr>
          <w:sz w:val="24"/>
          <w:szCs w:val="24"/>
        </w:rPr>
      </w:pPr>
      <w:r w:rsidRPr="000240D6">
        <w:rPr>
          <w:b/>
          <w:sz w:val="24"/>
          <w:szCs w:val="24"/>
        </w:rPr>
        <w:t>POLÍTICA DE INVERSIÓN PÚBLICA</w:t>
      </w:r>
      <w:r w:rsidR="000240D6">
        <w:rPr>
          <w:b/>
          <w:sz w:val="24"/>
          <w:szCs w:val="24"/>
        </w:rPr>
        <w:t xml:space="preserve">:  </w:t>
      </w:r>
      <w:r w:rsidRPr="005B03A5">
        <w:rPr>
          <w:sz w:val="24"/>
          <w:szCs w:val="24"/>
        </w:rPr>
        <w:t>Durante el proceso de formulación del Proyecto de Presupuesto</w:t>
      </w:r>
      <w:r w:rsidR="000240D6">
        <w:rPr>
          <w:b/>
          <w:sz w:val="24"/>
          <w:szCs w:val="24"/>
        </w:rPr>
        <w:t xml:space="preserve"> </w:t>
      </w:r>
      <w:r w:rsidRPr="005B03A5">
        <w:rPr>
          <w:sz w:val="24"/>
          <w:szCs w:val="24"/>
        </w:rPr>
        <w:t>Nacional 2020-2022, se están consolidando las mejoras en el Sistema Nacional de</w:t>
      </w:r>
      <w:r w:rsidR="000240D6">
        <w:rPr>
          <w:b/>
          <w:sz w:val="24"/>
          <w:szCs w:val="24"/>
        </w:rPr>
        <w:t xml:space="preserve"> </w:t>
      </w:r>
      <w:r w:rsidRPr="005B03A5">
        <w:rPr>
          <w:sz w:val="24"/>
          <w:szCs w:val="24"/>
        </w:rPr>
        <w:t>Inversiones Públicas (SNIP) iniciadas en el año 2017. Estas mejoras tienen como</w:t>
      </w:r>
      <w:r w:rsidR="000240D6">
        <w:rPr>
          <w:b/>
          <w:sz w:val="24"/>
          <w:szCs w:val="24"/>
        </w:rPr>
        <w:t xml:space="preserve"> </w:t>
      </w:r>
      <w:r w:rsidRPr="005B03A5">
        <w:rPr>
          <w:sz w:val="24"/>
          <w:szCs w:val="24"/>
        </w:rPr>
        <w:t>objetivo principal contar con un enfoque sistémico e integral para la asignación de</w:t>
      </w:r>
      <w:r w:rsidR="000240D6">
        <w:rPr>
          <w:b/>
          <w:sz w:val="24"/>
          <w:szCs w:val="24"/>
        </w:rPr>
        <w:t xml:space="preserve"> </w:t>
      </w:r>
      <w:r w:rsidR="000240D6">
        <w:rPr>
          <w:sz w:val="24"/>
          <w:szCs w:val="24"/>
        </w:rPr>
        <w:t xml:space="preserve">recursos </w:t>
      </w:r>
      <w:r w:rsidRPr="005B03A5">
        <w:rPr>
          <w:sz w:val="24"/>
          <w:szCs w:val="24"/>
        </w:rPr>
        <w:t>destinados al gasto de capital, fortaleciendo el proceso de formulación,</w:t>
      </w:r>
      <w:r w:rsidR="000240D6">
        <w:rPr>
          <w:b/>
          <w:sz w:val="24"/>
          <w:szCs w:val="24"/>
        </w:rPr>
        <w:t xml:space="preserve"> </w:t>
      </w:r>
      <w:r w:rsidRPr="005B03A5">
        <w:rPr>
          <w:sz w:val="24"/>
          <w:szCs w:val="24"/>
        </w:rPr>
        <w:t>evaluación y seguimiento de los proyectos de inversión, procurando a su vez la</w:t>
      </w:r>
      <w:r w:rsidR="0034425D">
        <w:rPr>
          <w:sz w:val="24"/>
          <w:szCs w:val="24"/>
        </w:rPr>
        <w:t xml:space="preserve"> </w:t>
      </w:r>
      <w:r w:rsidRPr="005B03A5">
        <w:rPr>
          <w:sz w:val="24"/>
          <w:szCs w:val="24"/>
        </w:rPr>
        <w:t>consistencia con la capacidad fiscal.</w:t>
      </w:r>
    </w:p>
    <w:p w:rsidR="000240D6" w:rsidRPr="000240D6" w:rsidRDefault="000240D6" w:rsidP="005B03A5">
      <w:pPr>
        <w:autoSpaceDE w:val="0"/>
        <w:autoSpaceDN w:val="0"/>
        <w:adjustRightInd w:val="0"/>
        <w:spacing w:after="0" w:line="240" w:lineRule="auto"/>
        <w:jc w:val="both"/>
        <w:rPr>
          <w:b/>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consonancia con el objetivo de</w:t>
      </w:r>
      <w:r w:rsidR="000240D6">
        <w:rPr>
          <w:sz w:val="24"/>
          <w:szCs w:val="24"/>
        </w:rPr>
        <w:t xml:space="preserve"> alcanzar una mirada integral y </w:t>
      </w:r>
      <w:r w:rsidRPr="005B03A5">
        <w:rPr>
          <w:sz w:val="24"/>
          <w:szCs w:val="24"/>
        </w:rPr>
        <w:t xml:space="preserve">sistémica de la inversión pública, en septiembre </w:t>
      </w:r>
      <w:r w:rsidR="000240D6">
        <w:rPr>
          <w:sz w:val="24"/>
          <w:szCs w:val="24"/>
        </w:rPr>
        <w:t xml:space="preserve">de 2017 fueron transferidas las </w:t>
      </w:r>
      <w:r w:rsidRPr="005B03A5">
        <w:rPr>
          <w:sz w:val="24"/>
          <w:szCs w:val="24"/>
        </w:rPr>
        <w:t>competencias del SNIP a la Jefatura de Ga</w:t>
      </w:r>
      <w:r w:rsidR="000240D6">
        <w:rPr>
          <w:sz w:val="24"/>
          <w:szCs w:val="24"/>
        </w:rPr>
        <w:t xml:space="preserve">binete de Ministros (Decreto N° </w:t>
      </w:r>
      <w:r w:rsidRPr="005B03A5">
        <w:rPr>
          <w:sz w:val="24"/>
          <w:szCs w:val="24"/>
        </w:rPr>
        <w:t xml:space="preserve">696/2017) y en diciembre de 2018, se le asignó </w:t>
      </w:r>
      <w:r w:rsidR="000240D6">
        <w:rPr>
          <w:sz w:val="24"/>
          <w:szCs w:val="24"/>
        </w:rPr>
        <w:t xml:space="preserve">a esta Jurisdicción (Decreto N° </w:t>
      </w:r>
      <w:r w:rsidRPr="005B03A5">
        <w:rPr>
          <w:sz w:val="24"/>
          <w:szCs w:val="24"/>
        </w:rPr>
        <w:t>1.119/2018) el control de la formulación y evaluació</w:t>
      </w:r>
      <w:r w:rsidR="000240D6">
        <w:rPr>
          <w:sz w:val="24"/>
          <w:szCs w:val="24"/>
        </w:rPr>
        <w:t xml:space="preserve">n de los proyectos de inversión </w:t>
      </w:r>
      <w:r w:rsidRPr="005B03A5">
        <w:rPr>
          <w:sz w:val="24"/>
          <w:szCs w:val="24"/>
        </w:rPr>
        <w:t>pública ejecutados a través de contratos de part</w:t>
      </w:r>
      <w:r w:rsidR="007232C9">
        <w:rPr>
          <w:sz w:val="24"/>
          <w:szCs w:val="24"/>
        </w:rPr>
        <w:t xml:space="preserve">icipación público-privada (PPP) </w:t>
      </w:r>
      <w:r w:rsidRPr="005B03A5">
        <w:rPr>
          <w:sz w:val="24"/>
          <w:szCs w:val="24"/>
        </w:rPr>
        <w:t xml:space="preserve">(Decreto N° 552/2018). En este contexto, se </w:t>
      </w:r>
      <w:r w:rsidR="007232C9">
        <w:rPr>
          <w:sz w:val="24"/>
          <w:szCs w:val="24"/>
        </w:rPr>
        <w:t xml:space="preserve">definió un plan estratégico </w:t>
      </w:r>
      <w:r w:rsidR="008015D1">
        <w:rPr>
          <w:sz w:val="24"/>
          <w:szCs w:val="24"/>
        </w:rPr>
        <w:t>que</w:t>
      </w:r>
      <w:r w:rsidR="007232C9">
        <w:rPr>
          <w:sz w:val="24"/>
          <w:szCs w:val="24"/>
        </w:rPr>
        <w:t xml:space="preserve"> </w:t>
      </w:r>
      <w:r w:rsidRPr="005B03A5">
        <w:rPr>
          <w:sz w:val="24"/>
          <w:szCs w:val="24"/>
        </w:rPr>
        <w:t>contempla, además de alcanzar una mirada integr</w:t>
      </w:r>
      <w:r w:rsidR="007232C9">
        <w:rPr>
          <w:sz w:val="24"/>
          <w:szCs w:val="24"/>
        </w:rPr>
        <w:t xml:space="preserve">al de la inversión pública, los </w:t>
      </w:r>
      <w:r w:rsidRPr="005B03A5">
        <w:rPr>
          <w:sz w:val="24"/>
          <w:szCs w:val="24"/>
        </w:rPr>
        <w:t>siguientes lineamientos: 1 ) ejercer un control efectivo</w:t>
      </w:r>
      <w:r w:rsidR="007232C9">
        <w:rPr>
          <w:sz w:val="24"/>
          <w:szCs w:val="24"/>
        </w:rPr>
        <w:t xml:space="preserve"> de la formulación y evaluación </w:t>
      </w:r>
      <w:r w:rsidRPr="005B03A5">
        <w:rPr>
          <w:sz w:val="24"/>
          <w:szCs w:val="24"/>
        </w:rPr>
        <w:t>de los proyectos de inversión con anterioridad a</w:t>
      </w:r>
      <w:r w:rsidR="007232C9">
        <w:rPr>
          <w:sz w:val="24"/>
          <w:szCs w:val="24"/>
        </w:rPr>
        <w:t xml:space="preserve"> su inclusión en el Presupuesto </w:t>
      </w:r>
      <w:r w:rsidRPr="005B03A5">
        <w:rPr>
          <w:sz w:val="24"/>
          <w:szCs w:val="24"/>
        </w:rPr>
        <w:t>Nacional; 2) implementar un procedimien</w:t>
      </w:r>
      <w:r w:rsidR="007232C9">
        <w:rPr>
          <w:sz w:val="24"/>
          <w:szCs w:val="24"/>
        </w:rPr>
        <w:t xml:space="preserve">to de priorización que conjugue </w:t>
      </w:r>
      <w:r w:rsidRPr="005B03A5">
        <w:rPr>
          <w:sz w:val="24"/>
          <w:szCs w:val="24"/>
        </w:rPr>
        <w:t>necesidades derivadas de las brechas de infraestructura (enfoque gl</w:t>
      </w:r>
      <w:r w:rsidR="007232C9">
        <w:rPr>
          <w:sz w:val="24"/>
          <w:szCs w:val="24"/>
        </w:rPr>
        <w:t xml:space="preserve">obal), con los </w:t>
      </w:r>
      <w:r w:rsidRPr="005B03A5">
        <w:rPr>
          <w:sz w:val="24"/>
          <w:szCs w:val="24"/>
        </w:rPr>
        <w:t>proyectos identificados por los propios organismos (enfo</w:t>
      </w:r>
      <w:r w:rsidR="007232C9">
        <w:rPr>
          <w:sz w:val="24"/>
          <w:szCs w:val="24"/>
        </w:rPr>
        <w:t xml:space="preserve">que sectorial); 3) redefinir el </w:t>
      </w:r>
      <w:r w:rsidRPr="005B03A5">
        <w:rPr>
          <w:sz w:val="24"/>
          <w:szCs w:val="24"/>
        </w:rPr>
        <w:t>alcance de la intervención de la Dirección Nacion</w:t>
      </w:r>
      <w:r w:rsidR="007232C9">
        <w:rPr>
          <w:sz w:val="24"/>
          <w:szCs w:val="24"/>
        </w:rPr>
        <w:t xml:space="preserve">al de Inversión Pública (DNIP), </w:t>
      </w:r>
      <w:r w:rsidRPr="005B03A5">
        <w:rPr>
          <w:sz w:val="24"/>
          <w:szCs w:val="24"/>
        </w:rPr>
        <w:t>incluyendo las adecuaciones normativas necesarias; 4) simplificar los re</w:t>
      </w:r>
      <w:r w:rsidR="007232C9">
        <w:rPr>
          <w:sz w:val="24"/>
          <w:szCs w:val="24"/>
        </w:rPr>
        <w:t xml:space="preserve">querimientos </w:t>
      </w:r>
      <w:r w:rsidRPr="005B03A5">
        <w:rPr>
          <w:sz w:val="24"/>
          <w:szCs w:val="24"/>
        </w:rPr>
        <w:t>informativos y mejorar la operación del Banco de</w:t>
      </w:r>
      <w:r w:rsidR="0034425D">
        <w:rPr>
          <w:sz w:val="24"/>
          <w:szCs w:val="24"/>
        </w:rPr>
        <w:t xml:space="preserve"> Proyectos de Inversión Pública </w:t>
      </w:r>
      <w:r w:rsidRPr="005B03A5">
        <w:rPr>
          <w:sz w:val="24"/>
          <w:szCs w:val="24"/>
        </w:rPr>
        <w:t>Nacional (BAPIN), como así también la gestión de lo</w:t>
      </w:r>
      <w:r w:rsidR="0034425D">
        <w:rPr>
          <w:sz w:val="24"/>
          <w:szCs w:val="24"/>
        </w:rPr>
        <w:t xml:space="preserve">s dictámenes de calificación de </w:t>
      </w:r>
      <w:r w:rsidRPr="005B03A5">
        <w:rPr>
          <w:sz w:val="24"/>
          <w:szCs w:val="24"/>
        </w:rPr>
        <w:t>los proyectos; y 5) mejorar la información disponible y ampliar la transparencia.</w:t>
      </w:r>
    </w:p>
    <w:p w:rsidR="0034425D" w:rsidRDefault="0034425D" w:rsidP="005B03A5">
      <w:pPr>
        <w:autoSpaceDE w:val="0"/>
        <w:autoSpaceDN w:val="0"/>
        <w:adjustRightInd w:val="0"/>
        <w:spacing w:after="0" w:line="240" w:lineRule="auto"/>
        <w:jc w:val="both"/>
        <w:rPr>
          <w:sz w:val="24"/>
          <w:szCs w:val="24"/>
        </w:rPr>
      </w:pPr>
    </w:p>
    <w:p w:rsidR="005B03A5" w:rsidRDefault="005B03A5" w:rsidP="005B03A5">
      <w:pPr>
        <w:autoSpaceDE w:val="0"/>
        <w:autoSpaceDN w:val="0"/>
        <w:adjustRightInd w:val="0"/>
        <w:spacing w:after="0" w:line="240" w:lineRule="auto"/>
        <w:jc w:val="both"/>
        <w:rPr>
          <w:sz w:val="24"/>
          <w:szCs w:val="24"/>
        </w:rPr>
      </w:pPr>
      <w:r w:rsidRPr="0034425D">
        <w:rPr>
          <w:b/>
          <w:sz w:val="24"/>
          <w:szCs w:val="24"/>
        </w:rPr>
        <w:t>OCUPACIÓ</w:t>
      </w:r>
      <w:r w:rsidR="0034425D">
        <w:rPr>
          <w:b/>
          <w:sz w:val="24"/>
          <w:szCs w:val="24"/>
        </w:rPr>
        <w:t xml:space="preserve">N Y SALARIOS DEL SECTOR PÚBLICO </w:t>
      </w:r>
      <w:r w:rsidRPr="005B03A5">
        <w:rPr>
          <w:sz w:val="24"/>
          <w:szCs w:val="24"/>
        </w:rPr>
        <w:t>Con relación a la ocupación y salarios en las negociaciones colectivas</w:t>
      </w:r>
      <w:r w:rsidR="0034425D">
        <w:rPr>
          <w:b/>
          <w:sz w:val="24"/>
          <w:szCs w:val="24"/>
        </w:rPr>
        <w:t xml:space="preserve"> </w:t>
      </w:r>
      <w:r w:rsidRPr="005B03A5">
        <w:rPr>
          <w:sz w:val="24"/>
          <w:szCs w:val="24"/>
        </w:rPr>
        <w:t>de la Administración Pública Nacional según la articulación dispuesta por la Ley Nº</w:t>
      </w:r>
      <w:r w:rsidR="0034425D">
        <w:rPr>
          <w:b/>
          <w:sz w:val="24"/>
          <w:szCs w:val="24"/>
        </w:rPr>
        <w:t xml:space="preserve"> </w:t>
      </w:r>
      <w:r w:rsidRPr="005B03A5">
        <w:rPr>
          <w:sz w:val="24"/>
          <w:szCs w:val="24"/>
        </w:rPr>
        <w:t>24.185, mediante la cual se han homologado diversos Convenios Colectivos de</w:t>
      </w:r>
      <w:r w:rsidR="0034425D">
        <w:rPr>
          <w:b/>
          <w:sz w:val="24"/>
          <w:szCs w:val="24"/>
        </w:rPr>
        <w:t xml:space="preserve"> </w:t>
      </w:r>
      <w:r w:rsidRPr="005B03A5">
        <w:rPr>
          <w:sz w:val="24"/>
          <w:szCs w:val="24"/>
        </w:rPr>
        <w:t>Trabajo Sectorial, la operativa de negociación del resto de los Convenios Colectivos</w:t>
      </w:r>
      <w:r w:rsidR="0034425D">
        <w:rPr>
          <w:b/>
          <w:sz w:val="24"/>
          <w:szCs w:val="24"/>
        </w:rPr>
        <w:t xml:space="preserve"> </w:t>
      </w:r>
      <w:r w:rsidRPr="005B03A5">
        <w:rPr>
          <w:sz w:val="24"/>
          <w:szCs w:val="24"/>
        </w:rPr>
        <w:t>de Trabajo Sectoriales solo podrá desarrollarse en el marco de las pautas</w:t>
      </w:r>
      <w:r w:rsidR="0034425D">
        <w:rPr>
          <w:b/>
          <w:sz w:val="24"/>
          <w:szCs w:val="24"/>
        </w:rPr>
        <w:t xml:space="preserve"> </w:t>
      </w:r>
      <w:r w:rsidRPr="005B03A5">
        <w:rPr>
          <w:sz w:val="24"/>
          <w:szCs w:val="24"/>
        </w:rPr>
        <w:t>presupuestarias oportunamente aprobadas y de acuerdo a la agenda que establezca</w:t>
      </w:r>
      <w:r w:rsidR="0034425D">
        <w:rPr>
          <w:b/>
          <w:sz w:val="24"/>
          <w:szCs w:val="24"/>
        </w:rPr>
        <w:t xml:space="preserve"> </w:t>
      </w:r>
      <w:r w:rsidRPr="005B03A5">
        <w:rPr>
          <w:sz w:val="24"/>
          <w:szCs w:val="24"/>
        </w:rPr>
        <w:t>el Poder Ejecutivo Nacional.</w:t>
      </w:r>
    </w:p>
    <w:p w:rsidR="0034425D" w:rsidRPr="0034425D" w:rsidRDefault="0034425D" w:rsidP="005B03A5">
      <w:pPr>
        <w:autoSpaceDE w:val="0"/>
        <w:autoSpaceDN w:val="0"/>
        <w:adjustRightInd w:val="0"/>
        <w:spacing w:after="0" w:line="240" w:lineRule="auto"/>
        <w:jc w:val="both"/>
        <w:rPr>
          <w:b/>
          <w:sz w:val="24"/>
          <w:szCs w:val="24"/>
        </w:rPr>
      </w:pPr>
    </w:p>
    <w:p w:rsidR="005B03A5" w:rsidRPr="0034425D" w:rsidRDefault="005B03A5" w:rsidP="005B03A5">
      <w:pPr>
        <w:autoSpaceDE w:val="0"/>
        <w:autoSpaceDN w:val="0"/>
        <w:adjustRightInd w:val="0"/>
        <w:spacing w:after="0" w:line="240" w:lineRule="auto"/>
        <w:jc w:val="both"/>
        <w:rPr>
          <w:b/>
          <w:sz w:val="24"/>
          <w:szCs w:val="24"/>
        </w:rPr>
      </w:pPr>
      <w:r w:rsidRPr="0034425D">
        <w:rPr>
          <w:b/>
          <w:sz w:val="24"/>
          <w:szCs w:val="24"/>
        </w:rPr>
        <w:t>POLÍTICA DE FINANCIAMIENTO Y SERVICIO DE L</w:t>
      </w:r>
      <w:r w:rsidR="0034425D">
        <w:rPr>
          <w:b/>
          <w:sz w:val="24"/>
          <w:szCs w:val="24"/>
        </w:rPr>
        <w:t xml:space="preserve">A DEUDA </w:t>
      </w:r>
      <w:r w:rsidRPr="005B03A5">
        <w:rPr>
          <w:sz w:val="24"/>
          <w:szCs w:val="24"/>
        </w:rPr>
        <w:t>Los desembolsos acordados con el FMI y otros Organismos</w:t>
      </w:r>
      <w:r w:rsidR="0034425D">
        <w:rPr>
          <w:b/>
          <w:sz w:val="24"/>
          <w:szCs w:val="24"/>
        </w:rPr>
        <w:t xml:space="preserve"> </w:t>
      </w:r>
      <w:r w:rsidRPr="005B03A5">
        <w:rPr>
          <w:sz w:val="24"/>
          <w:szCs w:val="24"/>
        </w:rPr>
        <w:t>Internacionales en lo que queda de 2019 ponen al Tesoro en una posición favorable,</w:t>
      </w:r>
      <w:r w:rsidR="0034425D">
        <w:rPr>
          <w:b/>
          <w:sz w:val="24"/>
          <w:szCs w:val="24"/>
        </w:rPr>
        <w:t xml:space="preserve"> </w:t>
      </w:r>
      <w:r w:rsidRPr="005B03A5">
        <w:rPr>
          <w:sz w:val="24"/>
          <w:szCs w:val="24"/>
        </w:rPr>
        <w:t>en la que las necesidades asociadas al déficit primario y al pago de intereses se</w:t>
      </w:r>
      <w:r w:rsidR="0034425D">
        <w:rPr>
          <w:b/>
          <w:sz w:val="24"/>
          <w:szCs w:val="24"/>
        </w:rPr>
        <w:t xml:space="preserve"> </w:t>
      </w:r>
      <w:r w:rsidRPr="005B03A5">
        <w:rPr>
          <w:sz w:val="24"/>
          <w:szCs w:val="24"/>
        </w:rPr>
        <w:t>encuentran cubiertas y solo se requiere refinanciar parte de los vencimientos de</w:t>
      </w:r>
      <w:r w:rsidR="0034425D">
        <w:rPr>
          <w:b/>
          <w:sz w:val="24"/>
          <w:szCs w:val="24"/>
        </w:rPr>
        <w:t xml:space="preserve"> </w:t>
      </w:r>
      <w:r w:rsidRPr="005B03A5">
        <w:rPr>
          <w:sz w:val="24"/>
          <w:szCs w:val="24"/>
        </w:rPr>
        <w:t>capital con tenedores privados. Los vencimientos con agencias del Sector Público se</w:t>
      </w:r>
      <w:r w:rsidR="0034425D">
        <w:rPr>
          <w:b/>
          <w:sz w:val="24"/>
          <w:szCs w:val="24"/>
        </w:rPr>
        <w:t xml:space="preserve"> </w:t>
      </w:r>
      <w:r w:rsidRPr="005B03A5">
        <w:rPr>
          <w:sz w:val="24"/>
          <w:szCs w:val="24"/>
        </w:rPr>
        <w:t>asumen refinanciables, atento a la solvente situación</w:t>
      </w:r>
      <w:r w:rsidR="0034425D">
        <w:rPr>
          <w:sz w:val="24"/>
          <w:szCs w:val="24"/>
        </w:rPr>
        <w:t xml:space="preserve"> financiera que dichas agencias </w:t>
      </w:r>
      <w:r w:rsidRPr="005B03A5">
        <w:rPr>
          <w:sz w:val="24"/>
          <w:szCs w:val="24"/>
        </w:rPr>
        <w:t>exhiben.</w:t>
      </w:r>
    </w:p>
    <w:p w:rsidR="0034425D" w:rsidRDefault="0034425D"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En 2020, el superávit fiscal proyect</w:t>
      </w:r>
      <w:r w:rsidR="0034425D">
        <w:rPr>
          <w:sz w:val="24"/>
          <w:szCs w:val="24"/>
        </w:rPr>
        <w:t xml:space="preserve">ado de 1% del PIB contribuirá a </w:t>
      </w:r>
      <w:r w:rsidRPr="005B03A5">
        <w:rPr>
          <w:sz w:val="24"/>
          <w:szCs w:val="24"/>
        </w:rPr>
        <w:t>reducir las necesidades de financiamiento. desembolso de US$3.900 millones del programa con el</w:t>
      </w:r>
      <w:r w:rsidR="0034425D">
        <w:rPr>
          <w:sz w:val="24"/>
          <w:szCs w:val="24"/>
        </w:rPr>
        <w:t xml:space="preserve"> FMI y la refinanciación de los </w:t>
      </w:r>
      <w:r w:rsidRPr="005B03A5">
        <w:rPr>
          <w:sz w:val="24"/>
          <w:szCs w:val="24"/>
        </w:rPr>
        <w:t>US$3.000 millones en vencimientos de otros Org</w:t>
      </w:r>
      <w:r w:rsidR="0034425D">
        <w:rPr>
          <w:sz w:val="24"/>
          <w:szCs w:val="24"/>
        </w:rPr>
        <w:t xml:space="preserve">anismos Internacionales. La </w:t>
      </w:r>
      <w:r w:rsidRPr="005B03A5">
        <w:rPr>
          <w:sz w:val="24"/>
          <w:szCs w:val="24"/>
        </w:rPr>
        <w:t>renovación de los vencimientos Intra Sector Públic</w:t>
      </w:r>
      <w:r w:rsidR="0034425D">
        <w:rPr>
          <w:sz w:val="24"/>
          <w:szCs w:val="24"/>
        </w:rPr>
        <w:t xml:space="preserve">o se mantendrá como hasta ahora </w:t>
      </w:r>
      <w:r w:rsidRPr="005B03A5">
        <w:rPr>
          <w:sz w:val="24"/>
          <w:szCs w:val="24"/>
        </w:rPr>
        <w:t>y se espera un refinanciamiento mayor del sector privado, atento a condiciones</w:t>
      </w:r>
    </w:p>
    <w:p w:rsidR="005B03A5" w:rsidRPr="005B03A5" w:rsidRDefault="005B03A5" w:rsidP="005B03A5">
      <w:pPr>
        <w:autoSpaceDE w:val="0"/>
        <w:autoSpaceDN w:val="0"/>
        <w:adjustRightInd w:val="0"/>
        <w:spacing w:after="0" w:line="240" w:lineRule="auto"/>
        <w:jc w:val="both"/>
        <w:rPr>
          <w:sz w:val="24"/>
          <w:szCs w:val="24"/>
        </w:rPr>
      </w:pPr>
      <w:r w:rsidRPr="005B03A5">
        <w:rPr>
          <w:sz w:val="24"/>
          <w:szCs w:val="24"/>
        </w:rPr>
        <w:t>financieras más propicias para colocaciones de deuda del Gobierno argentino.</w:t>
      </w:r>
    </w:p>
    <w:p w:rsidR="0034425D" w:rsidRDefault="0034425D" w:rsidP="005B03A5">
      <w:pPr>
        <w:autoSpaceDE w:val="0"/>
        <w:autoSpaceDN w:val="0"/>
        <w:adjustRightInd w:val="0"/>
        <w:spacing w:after="0" w:line="240" w:lineRule="auto"/>
        <w:jc w:val="both"/>
        <w:rPr>
          <w:sz w:val="24"/>
          <w:szCs w:val="24"/>
        </w:rPr>
      </w:pPr>
    </w:p>
    <w:p w:rsidR="005B03A5" w:rsidRPr="005B03A5" w:rsidRDefault="005B03A5" w:rsidP="005B03A5">
      <w:pPr>
        <w:autoSpaceDE w:val="0"/>
        <w:autoSpaceDN w:val="0"/>
        <w:adjustRightInd w:val="0"/>
        <w:spacing w:after="0" w:line="240" w:lineRule="auto"/>
        <w:jc w:val="both"/>
        <w:rPr>
          <w:sz w:val="24"/>
          <w:szCs w:val="24"/>
        </w:rPr>
      </w:pPr>
      <w:r w:rsidRPr="0034425D">
        <w:rPr>
          <w:b/>
          <w:sz w:val="24"/>
          <w:szCs w:val="24"/>
          <w:highlight w:val="yellow"/>
        </w:rPr>
        <w:t>La deuda soberana Argentina no prese</w:t>
      </w:r>
      <w:r w:rsidR="0034425D" w:rsidRPr="0034425D">
        <w:rPr>
          <w:b/>
          <w:sz w:val="24"/>
          <w:szCs w:val="24"/>
          <w:highlight w:val="yellow"/>
        </w:rPr>
        <w:t>nta un problema de solvencia</w:t>
      </w:r>
      <w:r w:rsidR="0034425D">
        <w:rPr>
          <w:sz w:val="24"/>
          <w:szCs w:val="24"/>
        </w:rPr>
        <w:t>, y l</w:t>
      </w:r>
      <w:r w:rsidRPr="005B03A5">
        <w:rPr>
          <w:sz w:val="24"/>
          <w:szCs w:val="24"/>
        </w:rPr>
        <w:t xml:space="preserve">a percepción del mercado respecto a los riesgos </w:t>
      </w:r>
      <w:r w:rsidR="0034425D">
        <w:rPr>
          <w:sz w:val="24"/>
          <w:szCs w:val="24"/>
        </w:rPr>
        <w:t xml:space="preserve">de liquidez debería mejorar tan </w:t>
      </w:r>
      <w:r w:rsidRPr="005B03A5">
        <w:rPr>
          <w:sz w:val="24"/>
          <w:szCs w:val="24"/>
        </w:rPr>
        <w:t xml:space="preserve">pronto como se disipe la incertidumbre política </w:t>
      </w:r>
      <w:r w:rsidR="0034425D">
        <w:rPr>
          <w:sz w:val="24"/>
          <w:szCs w:val="24"/>
        </w:rPr>
        <w:t xml:space="preserve">vinculada a las elecciones y se </w:t>
      </w:r>
      <w:r w:rsidRPr="005B03A5">
        <w:rPr>
          <w:sz w:val="24"/>
          <w:szCs w:val="24"/>
        </w:rPr>
        <w:t>consiga administrar eficientemente el flujo de vencimientos de los próximos meses.</w:t>
      </w:r>
    </w:p>
    <w:p w:rsidR="0034425D" w:rsidRDefault="0034425D" w:rsidP="005B03A5">
      <w:pPr>
        <w:autoSpaceDE w:val="0"/>
        <w:autoSpaceDN w:val="0"/>
        <w:adjustRightInd w:val="0"/>
        <w:spacing w:after="0" w:line="240" w:lineRule="auto"/>
        <w:jc w:val="both"/>
        <w:rPr>
          <w:sz w:val="24"/>
          <w:szCs w:val="24"/>
        </w:rPr>
      </w:pPr>
    </w:p>
    <w:p w:rsidR="0034425D" w:rsidRDefault="0034425D" w:rsidP="005B03A5">
      <w:pPr>
        <w:autoSpaceDE w:val="0"/>
        <w:autoSpaceDN w:val="0"/>
        <w:adjustRightInd w:val="0"/>
        <w:spacing w:after="0" w:line="240" w:lineRule="auto"/>
        <w:jc w:val="both"/>
        <w:rPr>
          <w:sz w:val="24"/>
          <w:szCs w:val="24"/>
        </w:rPr>
      </w:pPr>
    </w:p>
    <w:p w:rsidR="005B03A5" w:rsidRPr="005B03A5" w:rsidRDefault="0034425D" w:rsidP="005B03A5">
      <w:pPr>
        <w:autoSpaceDE w:val="0"/>
        <w:autoSpaceDN w:val="0"/>
        <w:adjustRightInd w:val="0"/>
        <w:spacing w:after="0" w:line="240" w:lineRule="auto"/>
        <w:jc w:val="both"/>
        <w:rPr>
          <w:sz w:val="24"/>
          <w:szCs w:val="24"/>
        </w:rPr>
      </w:pPr>
      <w:r>
        <w:rPr>
          <w:sz w:val="24"/>
          <w:szCs w:val="24"/>
        </w:rPr>
        <w:t>D</w:t>
      </w:r>
      <w:r w:rsidR="005B03A5" w:rsidRPr="005B03A5">
        <w:rPr>
          <w:sz w:val="24"/>
          <w:szCs w:val="24"/>
        </w:rPr>
        <w:t>e 2019 en adelante, con el cumpl</w:t>
      </w:r>
      <w:r>
        <w:rPr>
          <w:sz w:val="24"/>
          <w:szCs w:val="24"/>
        </w:rPr>
        <w:t xml:space="preserve">imiento de las metas fiscales y </w:t>
      </w:r>
      <w:r w:rsidR="005B03A5" w:rsidRPr="005B03A5">
        <w:rPr>
          <w:sz w:val="24"/>
          <w:szCs w:val="24"/>
        </w:rPr>
        <w:t>una mayor estabilidad proyectada de</w:t>
      </w:r>
      <w:r>
        <w:rPr>
          <w:sz w:val="24"/>
          <w:szCs w:val="24"/>
        </w:rPr>
        <w:t xml:space="preserve">l tipo de cambio, esperamos una </w:t>
      </w:r>
      <w:r w:rsidR="005B03A5" w:rsidRPr="005B03A5">
        <w:rPr>
          <w:sz w:val="24"/>
          <w:szCs w:val="24"/>
        </w:rPr>
        <w:t xml:space="preserve">reducción de la deuda como porcentaje del PIB. </w:t>
      </w:r>
      <w:r>
        <w:rPr>
          <w:sz w:val="24"/>
          <w:szCs w:val="24"/>
        </w:rPr>
        <w:t xml:space="preserve">En efecto, luego del aumento de </w:t>
      </w:r>
      <w:r w:rsidR="005B03A5" w:rsidRPr="005B03A5">
        <w:rPr>
          <w:sz w:val="24"/>
          <w:szCs w:val="24"/>
        </w:rPr>
        <w:t>la deuda neta en 2018 debido al movimiento pronunc</w:t>
      </w:r>
      <w:r>
        <w:rPr>
          <w:sz w:val="24"/>
          <w:szCs w:val="24"/>
        </w:rPr>
        <w:t xml:space="preserve">iado del tipo de cambio, con la </w:t>
      </w:r>
      <w:r w:rsidR="005B03A5" w:rsidRPr="005B03A5">
        <w:rPr>
          <w:sz w:val="24"/>
          <w:szCs w:val="24"/>
        </w:rPr>
        <w:t>convergencia al equilibrio fiscal en 2019 y el superá</w:t>
      </w:r>
      <w:r>
        <w:rPr>
          <w:sz w:val="24"/>
          <w:szCs w:val="24"/>
        </w:rPr>
        <w:t xml:space="preserve">vit fiscal a partir de 2020, la </w:t>
      </w:r>
      <w:r w:rsidR="005B03A5" w:rsidRPr="005B03A5">
        <w:rPr>
          <w:sz w:val="24"/>
          <w:szCs w:val="24"/>
        </w:rPr>
        <w:t>deuda neta en términos del PIB comenzaría a des</w:t>
      </w:r>
      <w:r>
        <w:rPr>
          <w:sz w:val="24"/>
          <w:szCs w:val="24"/>
        </w:rPr>
        <w:t xml:space="preserve">cender y se situaría en torno a </w:t>
      </w:r>
      <w:r w:rsidR="005B03A5" w:rsidRPr="005B03A5">
        <w:rPr>
          <w:sz w:val="24"/>
          <w:szCs w:val="24"/>
        </w:rPr>
        <w:t>49% del PIB en 2019, convergiendo a alrededor</w:t>
      </w:r>
      <w:r>
        <w:rPr>
          <w:sz w:val="24"/>
          <w:szCs w:val="24"/>
        </w:rPr>
        <w:t xml:space="preserve"> de 38% del PIB hacia 2023. En </w:t>
      </w:r>
      <w:r w:rsidR="005B03A5" w:rsidRPr="005B03A5">
        <w:rPr>
          <w:sz w:val="24"/>
          <w:szCs w:val="24"/>
        </w:rPr>
        <w:t>tanto, el pago de intereses netos alcanzaría un máximo de 2,8% del PIB en 2020,</w:t>
      </w:r>
    </w:p>
    <w:p w:rsidR="005B03A5" w:rsidRDefault="005B03A5" w:rsidP="005B03A5">
      <w:pPr>
        <w:autoSpaceDE w:val="0"/>
        <w:autoSpaceDN w:val="0"/>
        <w:adjustRightInd w:val="0"/>
        <w:spacing w:after="0" w:line="240" w:lineRule="auto"/>
        <w:jc w:val="both"/>
        <w:rPr>
          <w:sz w:val="24"/>
          <w:szCs w:val="24"/>
        </w:rPr>
      </w:pPr>
      <w:r w:rsidRPr="005B03A5">
        <w:rPr>
          <w:sz w:val="24"/>
          <w:szCs w:val="24"/>
        </w:rPr>
        <w:t>disminuyendo significativamente en años posteriores.</w:t>
      </w:r>
    </w:p>
    <w:p w:rsidR="0034425D" w:rsidRPr="005B03A5" w:rsidRDefault="0034425D" w:rsidP="005B03A5">
      <w:pPr>
        <w:autoSpaceDE w:val="0"/>
        <w:autoSpaceDN w:val="0"/>
        <w:adjustRightInd w:val="0"/>
        <w:spacing w:after="0" w:line="240" w:lineRule="auto"/>
        <w:jc w:val="both"/>
        <w:rPr>
          <w:sz w:val="24"/>
          <w:szCs w:val="24"/>
        </w:rPr>
      </w:pPr>
      <w:bookmarkStart w:id="0" w:name="_GoBack"/>
      <w:bookmarkEnd w:id="0"/>
    </w:p>
    <w:p w:rsidR="0034425D" w:rsidRDefault="0034425D" w:rsidP="005B03A5">
      <w:pPr>
        <w:autoSpaceDE w:val="0"/>
        <w:autoSpaceDN w:val="0"/>
        <w:adjustRightInd w:val="0"/>
        <w:spacing w:after="0" w:line="240" w:lineRule="auto"/>
        <w:jc w:val="both"/>
        <w:rPr>
          <w:sz w:val="24"/>
          <w:szCs w:val="24"/>
        </w:rPr>
      </w:pPr>
    </w:p>
    <w:sectPr w:rsidR="0034425D" w:rsidSect="00067F59">
      <w:pgSz w:w="11906" w:h="16838"/>
      <w:pgMar w:top="1418"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A3" w:rsidRDefault="00842FA3" w:rsidP="00390831">
      <w:pPr>
        <w:spacing w:after="0" w:line="240" w:lineRule="auto"/>
      </w:pPr>
      <w:r>
        <w:separator/>
      </w:r>
    </w:p>
  </w:endnote>
  <w:endnote w:type="continuationSeparator" w:id="0">
    <w:p w:rsidR="00842FA3" w:rsidRDefault="00842FA3" w:rsidP="00390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A3" w:rsidRDefault="00842FA3" w:rsidP="00390831">
      <w:pPr>
        <w:spacing w:after="0" w:line="240" w:lineRule="auto"/>
      </w:pPr>
      <w:r>
        <w:separator/>
      </w:r>
    </w:p>
  </w:footnote>
  <w:footnote w:type="continuationSeparator" w:id="0">
    <w:p w:rsidR="00842FA3" w:rsidRDefault="00842FA3" w:rsidP="00390831">
      <w:pPr>
        <w:spacing w:after="0" w:line="240" w:lineRule="auto"/>
      </w:pPr>
      <w:r>
        <w:continuationSeparator/>
      </w:r>
    </w:p>
  </w:footnote>
  <w:footnote w:id="1">
    <w:p w:rsidR="00E650A4" w:rsidRDefault="00E650A4">
      <w:pPr>
        <w:pStyle w:val="Textonotapie"/>
      </w:pPr>
      <w:r>
        <w:rPr>
          <w:rStyle w:val="Refdenotaalpie"/>
        </w:rPr>
        <w:footnoteRef/>
      </w:r>
      <w:r>
        <w:t xml:space="preserve"> En transferencias de capital a las provincias y municipios la disminución con respecto al año 2018 y en montos nominales fue del 29,1% abajo.  Y en transferencia de Capital en 44,8% abajo.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86FBF"/>
    <w:multiLevelType w:val="hybridMultilevel"/>
    <w:tmpl w:val="564622D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BA13D7"/>
    <w:rsid w:val="000240D6"/>
    <w:rsid w:val="0003323A"/>
    <w:rsid w:val="00067F59"/>
    <w:rsid w:val="00096E83"/>
    <w:rsid w:val="000E2030"/>
    <w:rsid w:val="001B7940"/>
    <w:rsid w:val="00225BF8"/>
    <w:rsid w:val="002448D8"/>
    <w:rsid w:val="00260AA7"/>
    <w:rsid w:val="0026775B"/>
    <w:rsid w:val="002B10D1"/>
    <w:rsid w:val="0034425D"/>
    <w:rsid w:val="00377DB7"/>
    <w:rsid w:val="00390831"/>
    <w:rsid w:val="003D0265"/>
    <w:rsid w:val="003D2E88"/>
    <w:rsid w:val="003D313E"/>
    <w:rsid w:val="003E6C01"/>
    <w:rsid w:val="004430C8"/>
    <w:rsid w:val="004500B7"/>
    <w:rsid w:val="004E1DFF"/>
    <w:rsid w:val="005B03A5"/>
    <w:rsid w:val="005F3296"/>
    <w:rsid w:val="00651A30"/>
    <w:rsid w:val="007232C9"/>
    <w:rsid w:val="007727B9"/>
    <w:rsid w:val="00772C4E"/>
    <w:rsid w:val="007A4125"/>
    <w:rsid w:val="007C0B20"/>
    <w:rsid w:val="008015D1"/>
    <w:rsid w:val="00842FA3"/>
    <w:rsid w:val="00846967"/>
    <w:rsid w:val="00954664"/>
    <w:rsid w:val="00AC7E49"/>
    <w:rsid w:val="00AE7673"/>
    <w:rsid w:val="00B806E3"/>
    <w:rsid w:val="00B96242"/>
    <w:rsid w:val="00BA13D7"/>
    <w:rsid w:val="00BF6A78"/>
    <w:rsid w:val="00C76EF4"/>
    <w:rsid w:val="00CE5CBD"/>
    <w:rsid w:val="00D11FF9"/>
    <w:rsid w:val="00D16250"/>
    <w:rsid w:val="00D4593A"/>
    <w:rsid w:val="00D873CA"/>
    <w:rsid w:val="00D91E01"/>
    <w:rsid w:val="00DB14AB"/>
    <w:rsid w:val="00DE2597"/>
    <w:rsid w:val="00E013F1"/>
    <w:rsid w:val="00E27746"/>
    <w:rsid w:val="00E650A4"/>
    <w:rsid w:val="00EB461E"/>
    <w:rsid w:val="00F04BF5"/>
    <w:rsid w:val="00F16430"/>
    <w:rsid w:val="00F27BA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F59"/>
    <w:pPr>
      <w:ind w:left="720"/>
      <w:contextualSpacing/>
    </w:pPr>
  </w:style>
  <w:style w:type="paragraph" w:customStyle="1" w:styleId="Standard">
    <w:name w:val="Standard"/>
    <w:rsid w:val="005F3296"/>
    <w:pPr>
      <w:suppressAutoHyphens/>
      <w:autoSpaceDN w:val="0"/>
      <w:spacing w:line="240" w:lineRule="auto"/>
      <w:textAlignment w:val="baseline"/>
    </w:pPr>
    <w:rPr>
      <w:rFonts w:ascii="Calibri" w:eastAsia="SimSun" w:hAnsi="Calibri" w:cs="F"/>
      <w:kern w:val="3"/>
    </w:rPr>
  </w:style>
  <w:style w:type="paragraph" w:styleId="Textonotapie">
    <w:name w:val="footnote text"/>
    <w:basedOn w:val="Normal"/>
    <w:link w:val="TextonotapieCar"/>
    <w:uiPriority w:val="99"/>
    <w:semiHidden/>
    <w:unhideWhenUsed/>
    <w:rsid w:val="003908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0831"/>
    <w:rPr>
      <w:sz w:val="20"/>
      <w:szCs w:val="20"/>
    </w:rPr>
  </w:style>
  <w:style w:type="character" w:styleId="Refdenotaalpie">
    <w:name w:val="footnote reference"/>
    <w:basedOn w:val="Fuentedeprrafopredeter"/>
    <w:uiPriority w:val="99"/>
    <w:semiHidden/>
    <w:unhideWhenUsed/>
    <w:rsid w:val="00390831"/>
    <w:rPr>
      <w:vertAlign w:val="superscript"/>
    </w:rPr>
  </w:style>
  <w:style w:type="paragraph" w:styleId="Textodeglobo">
    <w:name w:val="Balloon Text"/>
    <w:basedOn w:val="Normal"/>
    <w:link w:val="TextodegloboCar"/>
    <w:uiPriority w:val="99"/>
    <w:semiHidden/>
    <w:unhideWhenUsed/>
    <w:rsid w:val="00E01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5E1E-5143-4F6C-8D70-650267C6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4566</Words>
  <Characters>25118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29625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General</cp:lastModifiedBy>
  <cp:revision>4</cp:revision>
  <dcterms:created xsi:type="dcterms:W3CDTF">2019-07-06T03:39:00Z</dcterms:created>
  <dcterms:modified xsi:type="dcterms:W3CDTF">2019-07-06T03:40:00Z</dcterms:modified>
</cp:coreProperties>
</file>